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51" w:rsidRPr="009D2226" w:rsidRDefault="00814B8B" w:rsidP="00F8035C">
      <w:pPr>
        <w:pStyle w:val="NormalWeb"/>
        <w:tabs>
          <w:tab w:val="center" w:pos="5408"/>
        </w:tabs>
        <w:spacing w:before="0" w:beforeAutospacing="0" w:after="0" w:afterAutospacing="0"/>
        <w:jc w:val="center"/>
        <w:rPr>
          <w:rFonts w:asciiTheme="minorHAnsi" w:eastAsia="Batang" w:hAnsiTheme="minorHAnsi" w:cstheme="minorHAnsi"/>
          <w:b/>
          <w:caps/>
          <w:sz w:val="22"/>
          <w:szCs w:val="22"/>
        </w:rPr>
      </w:pPr>
      <w:r w:rsidRPr="009D2226">
        <w:rPr>
          <w:rFonts w:asciiTheme="minorHAnsi" w:eastAsia="Batang" w:hAnsiTheme="minorHAnsi" w:cstheme="minorHAnsi"/>
          <w:b/>
          <w:caps/>
          <w:sz w:val="22"/>
          <w:szCs w:val="22"/>
        </w:rPr>
        <w:t>PARECER JURÍDICO</w:t>
      </w:r>
    </w:p>
    <w:p w:rsidR="002C50D1" w:rsidRPr="009D2226" w:rsidRDefault="002C50D1" w:rsidP="00F8035C">
      <w:pPr>
        <w:pStyle w:val="NormalWeb"/>
        <w:tabs>
          <w:tab w:val="center" w:pos="5408"/>
        </w:tabs>
        <w:spacing w:before="0" w:beforeAutospacing="0" w:after="0" w:afterAutospacing="0"/>
        <w:jc w:val="center"/>
        <w:rPr>
          <w:rFonts w:asciiTheme="minorHAnsi" w:eastAsia="Batang" w:hAnsiTheme="minorHAnsi" w:cstheme="minorHAnsi"/>
          <w:b/>
          <w:caps/>
          <w:sz w:val="22"/>
          <w:szCs w:val="22"/>
        </w:rPr>
      </w:pPr>
    </w:p>
    <w:p w:rsidR="00814B8B" w:rsidRPr="009D2226" w:rsidRDefault="00814B8B" w:rsidP="00F8035C">
      <w:pPr>
        <w:pStyle w:val="NormalWeb"/>
        <w:spacing w:before="0" w:beforeAutospacing="0" w:after="0" w:afterAutospacing="0"/>
        <w:jc w:val="both"/>
        <w:rPr>
          <w:rStyle w:val="Forte"/>
          <w:rFonts w:asciiTheme="minorHAnsi" w:eastAsia="Batang" w:hAnsiTheme="minorHAnsi" w:cstheme="minorHAnsi"/>
          <w:b w:val="0"/>
          <w:sz w:val="22"/>
          <w:szCs w:val="22"/>
        </w:rPr>
      </w:pPr>
      <w:r w:rsidRPr="009D2226">
        <w:rPr>
          <w:rStyle w:val="Forte"/>
          <w:rFonts w:asciiTheme="minorHAnsi" w:eastAsia="Batang" w:hAnsiTheme="minorHAnsi" w:cstheme="minorHAnsi"/>
          <w:b w:val="0"/>
          <w:sz w:val="22"/>
          <w:szCs w:val="22"/>
        </w:rPr>
        <w:t xml:space="preserve">Ao </w:t>
      </w:r>
    </w:p>
    <w:p w:rsidR="00814B8B" w:rsidRPr="009D2226" w:rsidRDefault="00814B8B" w:rsidP="00F8035C">
      <w:pPr>
        <w:pStyle w:val="NormalWeb"/>
        <w:spacing w:before="0" w:beforeAutospacing="0" w:after="0" w:afterAutospacing="0"/>
        <w:jc w:val="both"/>
        <w:rPr>
          <w:rStyle w:val="Forte"/>
          <w:rFonts w:asciiTheme="minorHAnsi" w:eastAsia="Batang" w:hAnsiTheme="minorHAnsi" w:cstheme="minorHAnsi"/>
          <w:b w:val="0"/>
          <w:sz w:val="22"/>
          <w:szCs w:val="22"/>
        </w:rPr>
      </w:pPr>
      <w:r w:rsidRPr="009D2226">
        <w:rPr>
          <w:rStyle w:val="Forte"/>
          <w:rFonts w:asciiTheme="minorHAnsi" w:eastAsia="Batang" w:hAnsiTheme="minorHAnsi" w:cstheme="minorHAnsi"/>
          <w:b w:val="0"/>
          <w:sz w:val="22"/>
          <w:szCs w:val="22"/>
        </w:rPr>
        <w:t xml:space="preserve">Departamento de Licitações </w:t>
      </w:r>
    </w:p>
    <w:p w:rsidR="004F59D5" w:rsidRPr="009D2226" w:rsidRDefault="004F59D5" w:rsidP="00F8035C">
      <w:pPr>
        <w:pStyle w:val="NormalWeb"/>
        <w:spacing w:before="0" w:beforeAutospacing="0" w:after="0" w:afterAutospacing="0"/>
        <w:jc w:val="both"/>
        <w:rPr>
          <w:rStyle w:val="Forte"/>
          <w:rFonts w:asciiTheme="minorHAnsi" w:eastAsia="Batang" w:hAnsiTheme="minorHAnsi" w:cstheme="minorHAnsi"/>
          <w:b w:val="0"/>
          <w:sz w:val="22"/>
          <w:szCs w:val="22"/>
        </w:rPr>
      </w:pPr>
      <w:r w:rsidRPr="009D2226">
        <w:rPr>
          <w:rStyle w:val="Forte"/>
          <w:rFonts w:asciiTheme="minorHAnsi" w:eastAsia="Batang" w:hAnsiTheme="minorHAnsi" w:cstheme="minorHAnsi"/>
          <w:b w:val="0"/>
          <w:sz w:val="22"/>
          <w:szCs w:val="22"/>
        </w:rPr>
        <w:t>Município de Sorriso – MT</w:t>
      </w:r>
    </w:p>
    <w:p w:rsidR="00957D51" w:rsidRPr="009D2226" w:rsidRDefault="004F59D5" w:rsidP="00F8035C">
      <w:pPr>
        <w:pStyle w:val="NormalWeb"/>
        <w:spacing w:before="0" w:beforeAutospacing="0" w:after="0" w:afterAutospacing="0"/>
        <w:jc w:val="both"/>
        <w:rPr>
          <w:rStyle w:val="Forte"/>
          <w:rFonts w:asciiTheme="minorHAnsi" w:eastAsia="Batang" w:hAnsiTheme="minorHAnsi" w:cstheme="minorHAnsi"/>
          <w:b w:val="0"/>
          <w:sz w:val="22"/>
          <w:szCs w:val="22"/>
        </w:rPr>
      </w:pPr>
      <w:r w:rsidRPr="009D2226">
        <w:rPr>
          <w:rStyle w:val="Forte"/>
          <w:rFonts w:asciiTheme="minorHAnsi" w:eastAsia="Batang" w:hAnsiTheme="minorHAnsi" w:cstheme="minorHAnsi"/>
          <w:sz w:val="22"/>
          <w:szCs w:val="22"/>
        </w:rPr>
        <w:t xml:space="preserve">MODALIDADE: </w:t>
      </w:r>
      <w:r w:rsidR="00957D51" w:rsidRPr="009D2226">
        <w:rPr>
          <w:rStyle w:val="Forte"/>
          <w:rFonts w:asciiTheme="minorHAnsi" w:eastAsia="Batang" w:hAnsiTheme="minorHAnsi" w:cstheme="minorHAnsi"/>
          <w:b w:val="0"/>
          <w:sz w:val="22"/>
          <w:szCs w:val="22"/>
        </w:rPr>
        <w:t>DISPENSA DE LICITAÇÃO N° 0</w:t>
      </w:r>
      <w:r w:rsidR="00850540" w:rsidRPr="009D2226">
        <w:rPr>
          <w:rStyle w:val="Forte"/>
          <w:rFonts w:asciiTheme="minorHAnsi" w:eastAsia="Batang" w:hAnsiTheme="minorHAnsi" w:cstheme="minorHAnsi"/>
          <w:b w:val="0"/>
          <w:sz w:val="22"/>
          <w:szCs w:val="22"/>
        </w:rPr>
        <w:t>9</w:t>
      </w:r>
      <w:r w:rsidR="009D2226" w:rsidRPr="009D2226">
        <w:rPr>
          <w:rStyle w:val="Forte"/>
          <w:rFonts w:asciiTheme="minorHAnsi" w:eastAsia="Batang" w:hAnsiTheme="minorHAnsi" w:cstheme="minorHAnsi"/>
          <w:b w:val="0"/>
          <w:sz w:val="22"/>
          <w:szCs w:val="22"/>
        </w:rPr>
        <w:t>6</w:t>
      </w:r>
      <w:r w:rsidR="001270E3" w:rsidRPr="009D2226">
        <w:rPr>
          <w:rStyle w:val="Forte"/>
          <w:rFonts w:asciiTheme="minorHAnsi" w:eastAsia="Batang" w:hAnsiTheme="minorHAnsi" w:cstheme="minorHAnsi"/>
          <w:b w:val="0"/>
          <w:sz w:val="22"/>
          <w:szCs w:val="22"/>
        </w:rPr>
        <w:t>/20</w:t>
      </w:r>
      <w:r w:rsidR="00CD2FA4" w:rsidRPr="009D2226">
        <w:rPr>
          <w:rStyle w:val="Forte"/>
          <w:rFonts w:asciiTheme="minorHAnsi" w:eastAsia="Batang" w:hAnsiTheme="minorHAnsi" w:cstheme="minorHAnsi"/>
          <w:b w:val="0"/>
          <w:sz w:val="22"/>
          <w:szCs w:val="22"/>
        </w:rPr>
        <w:t>20</w:t>
      </w:r>
    </w:p>
    <w:p w:rsidR="000F0C5B" w:rsidRPr="009D2226" w:rsidRDefault="004F59D5" w:rsidP="00F8035C">
      <w:pPr>
        <w:pStyle w:val="NormalWeb"/>
        <w:spacing w:before="0" w:beforeAutospacing="0" w:after="0" w:afterAutospacing="0"/>
        <w:jc w:val="both"/>
        <w:rPr>
          <w:rStyle w:val="Forte"/>
          <w:rFonts w:asciiTheme="minorHAnsi" w:eastAsia="Batang" w:hAnsiTheme="minorHAnsi" w:cstheme="minorHAnsi"/>
          <w:b w:val="0"/>
          <w:sz w:val="22"/>
          <w:szCs w:val="22"/>
        </w:rPr>
      </w:pPr>
      <w:r w:rsidRPr="009D2226">
        <w:rPr>
          <w:rStyle w:val="Forte"/>
          <w:rFonts w:asciiTheme="minorHAnsi" w:eastAsia="Batang" w:hAnsiTheme="minorHAnsi" w:cstheme="minorHAnsi"/>
          <w:sz w:val="22"/>
          <w:szCs w:val="22"/>
        </w:rPr>
        <w:t xml:space="preserve">INTERESSADA: </w:t>
      </w:r>
      <w:r w:rsidR="00957D51" w:rsidRPr="009D2226">
        <w:rPr>
          <w:rStyle w:val="Forte"/>
          <w:rFonts w:asciiTheme="minorHAnsi" w:eastAsia="Batang" w:hAnsiTheme="minorHAnsi" w:cstheme="minorHAnsi"/>
          <w:b w:val="0"/>
          <w:sz w:val="22"/>
          <w:szCs w:val="22"/>
        </w:rPr>
        <w:t xml:space="preserve">Secretaria Municipal </w:t>
      </w:r>
      <w:r w:rsidR="009D2226" w:rsidRPr="009D2226">
        <w:rPr>
          <w:rStyle w:val="Forte"/>
          <w:rFonts w:asciiTheme="minorHAnsi" w:eastAsia="Batang" w:hAnsiTheme="minorHAnsi" w:cstheme="minorHAnsi"/>
          <w:b w:val="0"/>
          <w:sz w:val="22"/>
          <w:szCs w:val="22"/>
        </w:rPr>
        <w:t>de Agricultura e Meio Ambiente</w:t>
      </w:r>
      <w:r w:rsidR="00E360D5" w:rsidRPr="009D2226">
        <w:rPr>
          <w:rStyle w:val="Forte"/>
          <w:rFonts w:asciiTheme="minorHAnsi" w:eastAsia="Batang" w:hAnsiTheme="minorHAnsi" w:cstheme="minorHAnsi"/>
          <w:b w:val="0"/>
          <w:sz w:val="22"/>
          <w:szCs w:val="22"/>
        </w:rPr>
        <w:t>.</w:t>
      </w:r>
    </w:p>
    <w:p w:rsidR="002C50D1" w:rsidRDefault="002C50D1" w:rsidP="00F8035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9D2226" w:rsidRPr="009D2226" w:rsidRDefault="009D2226" w:rsidP="00F8035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4F59D5" w:rsidRPr="009D2226" w:rsidRDefault="004F59D5" w:rsidP="00F8035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D2226">
        <w:rPr>
          <w:rFonts w:asciiTheme="minorHAnsi" w:hAnsiTheme="minorHAnsi" w:cstheme="minorHAnsi"/>
          <w:b/>
          <w:sz w:val="22"/>
          <w:szCs w:val="22"/>
          <w:u w:val="single"/>
        </w:rPr>
        <w:t>RELATÓRIO</w:t>
      </w:r>
    </w:p>
    <w:p w:rsidR="002C50D1" w:rsidRPr="009D2226" w:rsidRDefault="002C50D1" w:rsidP="00F8035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17278" w:rsidRPr="009D2226" w:rsidRDefault="004F59D5" w:rsidP="009D2226">
      <w:pPr>
        <w:spacing w:after="0" w:line="240" w:lineRule="auto"/>
        <w:ind w:firstLine="2268"/>
        <w:jc w:val="both"/>
        <w:rPr>
          <w:rFonts w:cstheme="minorHAnsi"/>
          <w:b/>
        </w:rPr>
      </w:pPr>
      <w:r w:rsidRPr="009D2226">
        <w:rPr>
          <w:rFonts w:cstheme="minorHAnsi"/>
        </w:rPr>
        <w:t xml:space="preserve">Trata-se de solicitação de parecer jurídico, encaminhada a esta Assessoria Jurídica, nos termos do art. 38, parágrafo único da Lei 8.666/93, na qual requer análise jurídica da legalidade do </w:t>
      </w:r>
      <w:r w:rsidRPr="009D2226">
        <w:rPr>
          <w:rFonts w:cstheme="minorHAnsi"/>
          <w:b/>
        </w:rPr>
        <w:t>Processo de Dispensa de Licitação nº 0</w:t>
      </w:r>
      <w:r w:rsidR="00FB6997" w:rsidRPr="009D2226">
        <w:rPr>
          <w:rFonts w:cstheme="minorHAnsi"/>
          <w:b/>
        </w:rPr>
        <w:t>9</w:t>
      </w:r>
      <w:r w:rsidR="009D2226" w:rsidRPr="009D2226">
        <w:rPr>
          <w:rFonts w:cstheme="minorHAnsi"/>
          <w:b/>
        </w:rPr>
        <w:t>6</w:t>
      </w:r>
      <w:r w:rsidRPr="009D2226">
        <w:rPr>
          <w:rFonts w:cstheme="minorHAnsi"/>
          <w:b/>
        </w:rPr>
        <w:t>/20</w:t>
      </w:r>
      <w:r w:rsidR="00CD2FA4" w:rsidRPr="009D2226">
        <w:rPr>
          <w:rFonts w:cstheme="minorHAnsi"/>
          <w:b/>
        </w:rPr>
        <w:t>20</w:t>
      </w:r>
      <w:r w:rsidRPr="009D2226">
        <w:rPr>
          <w:rFonts w:cstheme="minorHAnsi"/>
          <w:b/>
        </w:rPr>
        <w:t>,</w:t>
      </w:r>
      <w:r w:rsidRPr="009D2226">
        <w:rPr>
          <w:rFonts w:cstheme="minorHAnsi"/>
        </w:rPr>
        <w:t xml:space="preserve"> para </w:t>
      </w:r>
      <w:r w:rsidR="00AF4B97" w:rsidRPr="009D2226">
        <w:rPr>
          <w:rFonts w:cstheme="minorHAnsi"/>
        </w:rPr>
        <w:t xml:space="preserve">de contratação de </w:t>
      </w:r>
      <w:r w:rsidR="009D2226" w:rsidRPr="009D2226">
        <w:rPr>
          <w:rFonts w:cstheme="minorHAnsi"/>
          <w:b/>
        </w:rPr>
        <w:t>DISPENSA DE LICITAÇÃO PARA CONTRATAÇÃO DE EMPRESA ESPECIALIZADA NO FORNECIMENTO E INSTALAÇÃO DE BOMBA SUBMERSA 7,5HP PARA O POÇO ARTESIANO DO PARQUE ECOLÓGICO MUNICIPAL – SECRETARIA MUNICIPAL DE AGRICULTURA E MEIO AMBIENTE</w:t>
      </w:r>
      <w:r w:rsidR="00AF4B97" w:rsidRPr="009D2226">
        <w:rPr>
          <w:rFonts w:cstheme="minorHAnsi"/>
          <w:b/>
        </w:rPr>
        <w:t>.</w:t>
      </w:r>
    </w:p>
    <w:p w:rsidR="002C50D1" w:rsidRPr="009D2226" w:rsidRDefault="002C50D1" w:rsidP="00F8035C">
      <w:pPr>
        <w:spacing w:after="0" w:line="240" w:lineRule="auto"/>
        <w:ind w:firstLine="708"/>
        <w:jc w:val="both"/>
        <w:rPr>
          <w:rFonts w:cstheme="minorHAnsi"/>
          <w:b/>
        </w:rPr>
      </w:pPr>
    </w:p>
    <w:p w:rsidR="00131481" w:rsidRPr="009D2226" w:rsidRDefault="000B0B36" w:rsidP="00F8035C">
      <w:pPr>
        <w:spacing w:after="0" w:line="240" w:lineRule="auto"/>
        <w:ind w:firstLine="2268"/>
        <w:jc w:val="both"/>
        <w:rPr>
          <w:rFonts w:cstheme="minorHAnsi"/>
        </w:rPr>
      </w:pPr>
      <w:r>
        <w:rPr>
          <w:rFonts w:cstheme="minorHAnsi"/>
        </w:rPr>
        <w:t>D</w:t>
      </w:r>
      <w:r w:rsidR="00131481" w:rsidRPr="009D2226">
        <w:rPr>
          <w:rFonts w:cstheme="minorHAnsi"/>
        </w:rPr>
        <w:t>estaca</w:t>
      </w:r>
      <w:r w:rsidR="009D2226">
        <w:rPr>
          <w:rFonts w:cstheme="minorHAnsi"/>
        </w:rPr>
        <w:t>-se</w:t>
      </w:r>
      <w:r w:rsidR="00131481" w:rsidRPr="009D2226">
        <w:rPr>
          <w:rFonts w:cstheme="minorHAnsi"/>
        </w:rPr>
        <w:t xml:space="preserve"> </w:t>
      </w:r>
      <w:r w:rsidR="009D2226">
        <w:rPr>
          <w:rFonts w:cstheme="minorHAnsi"/>
        </w:rPr>
        <w:t>que</w:t>
      </w:r>
      <w:r>
        <w:rPr>
          <w:rFonts w:cstheme="minorHAnsi"/>
        </w:rPr>
        <w:t>,</w:t>
      </w:r>
      <w:r w:rsidR="009D2226">
        <w:rPr>
          <w:rFonts w:cstheme="minorHAnsi"/>
        </w:rPr>
        <w:t xml:space="preserve"> </w:t>
      </w:r>
      <w:r w:rsidR="00131481" w:rsidRPr="009D2226">
        <w:rPr>
          <w:rFonts w:cstheme="minorHAnsi"/>
        </w:rPr>
        <w:t>junto ao pedido de parecer, foi encaminhado pedido para a contratação do serviço (DOD), Termo de Referência e documentação</w:t>
      </w:r>
      <w:r w:rsidR="00BA098B" w:rsidRPr="009D2226">
        <w:rPr>
          <w:rFonts w:cstheme="minorHAnsi"/>
        </w:rPr>
        <w:t>,</w:t>
      </w:r>
      <w:r w:rsidR="00131481" w:rsidRPr="009D2226">
        <w:rPr>
          <w:rFonts w:cstheme="minorHAnsi"/>
        </w:rPr>
        <w:t xml:space="preserve"> demonstrando a necessidade de contratação do serviço, cotações de mercado, Parecer Contábil, demonstrando previsão orçamentária, documentação para formalização do CRC da empresa a ser contratada</w:t>
      </w:r>
      <w:r w:rsidR="00131481" w:rsidRPr="009D2226">
        <w:rPr>
          <w:rFonts w:cstheme="minorHAnsi"/>
          <w:b/>
        </w:rPr>
        <w:t>.</w:t>
      </w:r>
    </w:p>
    <w:p w:rsidR="00131481" w:rsidRPr="009D2226" w:rsidRDefault="00131481" w:rsidP="00F8035C">
      <w:pPr>
        <w:spacing w:after="0" w:line="240" w:lineRule="auto"/>
        <w:ind w:firstLine="2268"/>
        <w:jc w:val="both"/>
        <w:rPr>
          <w:rFonts w:cstheme="minorHAnsi"/>
        </w:rPr>
      </w:pPr>
    </w:p>
    <w:p w:rsidR="00131481" w:rsidRPr="009D2226" w:rsidRDefault="00131481" w:rsidP="00F8035C">
      <w:pPr>
        <w:spacing w:after="0" w:line="240" w:lineRule="auto"/>
        <w:ind w:firstLine="2268"/>
        <w:jc w:val="both"/>
        <w:rPr>
          <w:rFonts w:cstheme="minorHAnsi"/>
        </w:rPr>
      </w:pPr>
      <w:r w:rsidRPr="009D2226">
        <w:rPr>
          <w:rFonts w:cstheme="minorHAnsi"/>
        </w:rPr>
        <w:t xml:space="preserve">É preciso destacar que os valores informados nos orçamentos realizados pela secretaria, que cotou em empresas do ramo, são de sua inteira responsabilidade, devendo sempre seguir as regras de balizamentos </w:t>
      </w:r>
      <w:r w:rsidR="00F12AED" w:rsidRPr="009D2226">
        <w:rPr>
          <w:rFonts w:cstheme="minorHAnsi"/>
        </w:rPr>
        <w:t xml:space="preserve">e pesquisas de preços </w:t>
      </w:r>
      <w:r w:rsidRPr="009D2226">
        <w:rPr>
          <w:rFonts w:cstheme="minorHAnsi"/>
        </w:rPr>
        <w:t xml:space="preserve">previstos no </w:t>
      </w:r>
      <w:r w:rsidRPr="009D2226">
        <w:rPr>
          <w:rFonts w:cstheme="minorHAnsi"/>
          <w:b/>
        </w:rPr>
        <w:t xml:space="preserve">Decreto Municipal nº </w:t>
      </w:r>
      <w:r w:rsidR="00F12AED" w:rsidRPr="009D2226">
        <w:rPr>
          <w:rFonts w:cstheme="minorHAnsi"/>
          <w:b/>
        </w:rPr>
        <w:t>371</w:t>
      </w:r>
      <w:r w:rsidRPr="009D2226">
        <w:rPr>
          <w:rFonts w:cstheme="minorHAnsi"/>
          <w:b/>
        </w:rPr>
        <w:t>/20</w:t>
      </w:r>
      <w:r w:rsidR="00F12AED" w:rsidRPr="009D2226">
        <w:rPr>
          <w:rFonts w:cstheme="minorHAnsi"/>
          <w:b/>
        </w:rPr>
        <w:t>20</w:t>
      </w:r>
      <w:r w:rsidRPr="009D2226">
        <w:rPr>
          <w:rFonts w:cstheme="minorHAnsi"/>
          <w:b/>
        </w:rPr>
        <w:t xml:space="preserve">, </w:t>
      </w:r>
      <w:r w:rsidRPr="009D2226">
        <w:rPr>
          <w:rFonts w:cstheme="minorHAnsi"/>
        </w:rPr>
        <w:t>não competindo a esta assessoria, avaliar a procedência e regularidade dos valores apresentados pelas empresas que realizaram as cotações.</w:t>
      </w:r>
    </w:p>
    <w:p w:rsidR="00131481" w:rsidRPr="009D2226" w:rsidRDefault="00131481" w:rsidP="00F8035C">
      <w:pPr>
        <w:spacing w:after="0" w:line="240" w:lineRule="auto"/>
        <w:ind w:firstLine="2268"/>
        <w:jc w:val="both"/>
        <w:rPr>
          <w:rFonts w:cstheme="minorHAnsi"/>
        </w:rPr>
      </w:pPr>
    </w:p>
    <w:p w:rsidR="00131481" w:rsidRPr="009D2226" w:rsidRDefault="00131481" w:rsidP="00F8035C">
      <w:pPr>
        <w:spacing w:after="0" w:line="240" w:lineRule="auto"/>
        <w:ind w:firstLine="2268"/>
        <w:jc w:val="both"/>
        <w:rPr>
          <w:rFonts w:cstheme="minorHAnsi"/>
        </w:rPr>
      </w:pPr>
      <w:r w:rsidRPr="009D2226">
        <w:rPr>
          <w:rFonts w:cstheme="minorHAnsi"/>
        </w:rPr>
        <w:t>É o que há de mais relevante para relatar.</w:t>
      </w:r>
    </w:p>
    <w:p w:rsidR="002C50D1" w:rsidRDefault="002C50D1" w:rsidP="00F8035C">
      <w:pPr>
        <w:spacing w:after="0" w:line="240" w:lineRule="auto"/>
        <w:ind w:firstLine="2268"/>
        <w:jc w:val="both"/>
        <w:rPr>
          <w:rFonts w:cstheme="minorHAnsi"/>
        </w:rPr>
      </w:pPr>
    </w:p>
    <w:p w:rsidR="009D2226" w:rsidRPr="009D2226" w:rsidRDefault="009D2226" w:rsidP="00F8035C">
      <w:pPr>
        <w:spacing w:after="0" w:line="240" w:lineRule="auto"/>
        <w:ind w:firstLine="2268"/>
        <w:jc w:val="both"/>
        <w:rPr>
          <w:rFonts w:cstheme="minorHAnsi"/>
        </w:rPr>
      </w:pPr>
    </w:p>
    <w:p w:rsidR="00131481" w:rsidRPr="009D2226" w:rsidRDefault="00131481" w:rsidP="00F8035C">
      <w:pPr>
        <w:tabs>
          <w:tab w:val="left" w:pos="2268"/>
        </w:tabs>
        <w:spacing w:after="0" w:line="240" w:lineRule="auto"/>
        <w:jc w:val="center"/>
        <w:rPr>
          <w:rFonts w:cstheme="minorHAnsi"/>
          <w:b/>
          <w:u w:val="single"/>
        </w:rPr>
      </w:pPr>
      <w:r w:rsidRPr="009D2226">
        <w:rPr>
          <w:rFonts w:cstheme="minorHAnsi"/>
          <w:b/>
          <w:u w:val="single"/>
        </w:rPr>
        <w:t>RELATÓRIO</w:t>
      </w:r>
    </w:p>
    <w:p w:rsidR="00131481" w:rsidRPr="009D2226" w:rsidRDefault="00131481" w:rsidP="00F8035C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</w:p>
    <w:p w:rsidR="00131481" w:rsidRDefault="00131481" w:rsidP="00F8035C">
      <w:pPr>
        <w:tabs>
          <w:tab w:val="left" w:pos="2268"/>
        </w:tabs>
        <w:spacing w:after="0" w:line="240" w:lineRule="auto"/>
        <w:ind w:firstLine="2268"/>
        <w:jc w:val="both"/>
        <w:rPr>
          <w:rFonts w:cstheme="minorHAnsi"/>
        </w:rPr>
      </w:pPr>
      <w:r w:rsidRPr="009D2226">
        <w:rPr>
          <w:rFonts w:cstheme="minorHAnsi"/>
        </w:rPr>
        <w:t>A Constituição Federal de 1988, com o fito de promover princípios administrativos como os da igualdade, impessoalidade, publicidade e moralidade, previu a licitação com regra geral para contratar com o Poder Público, seja obras, serviços, compras e alienações.</w:t>
      </w:r>
    </w:p>
    <w:p w:rsidR="009D2226" w:rsidRPr="009D2226" w:rsidRDefault="009D2226" w:rsidP="00F8035C">
      <w:pPr>
        <w:tabs>
          <w:tab w:val="left" w:pos="2268"/>
        </w:tabs>
        <w:spacing w:after="0" w:line="240" w:lineRule="auto"/>
        <w:ind w:firstLine="2268"/>
        <w:jc w:val="both"/>
        <w:rPr>
          <w:rFonts w:cstheme="minorHAnsi"/>
        </w:rPr>
      </w:pPr>
    </w:p>
    <w:p w:rsidR="00131481" w:rsidRPr="009D2226" w:rsidRDefault="00131481" w:rsidP="00F8035C">
      <w:pPr>
        <w:tabs>
          <w:tab w:val="left" w:pos="2268"/>
        </w:tabs>
        <w:spacing w:after="0" w:line="240" w:lineRule="auto"/>
        <w:ind w:firstLine="2268"/>
        <w:jc w:val="both"/>
        <w:rPr>
          <w:rFonts w:cstheme="minorHAnsi"/>
          <w:i/>
        </w:rPr>
      </w:pPr>
      <w:r w:rsidRPr="009D2226">
        <w:rPr>
          <w:rFonts w:cstheme="minorHAnsi"/>
        </w:rPr>
        <w:lastRenderedPageBreak/>
        <w:t xml:space="preserve">Nesse sentido, o seu art. 37, inciso XXI, </w:t>
      </w:r>
      <w:r w:rsidRPr="009D2226">
        <w:rPr>
          <w:rFonts w:cstheme="minorHAnsi"/>
          <w:i/>
        </w:rPr>
        <w:t xml:space="preserve">in </w:t>
      </w:r>
      <w:proofErr w:type="spellStart"/>
      <w:r w:rsidRPr="009D2226">
        <w:rPr>
          <w:rFonts w:cstheme="minorHAnsi"/>
          <w:i/>
        </w:rPr>
        <w:t>verbis</w:t>
      </w:r>
      <w:proofErr w:type="spellEnd"/>
      <w:r w:rsidRPr="009D2226">
        <w:rPr>
          <w:rFonts w:cstheme="minorHAnsi"/>
          <w:i/>
        </w:rPr>
        <w:t>:</w:t>
      </w:r>
    </w:p>
    <w:p w:rsidR="00131481" w:rsidRDefault="00131481" w:rsidP="00F8035C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</w:p>
    <w:p w:rsidR="009D2226" w:rsidRPr="009D2226" w:rsidRDefault="009D2226" w:rsidP="00F8035C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</w:p>
    <w:p w:rsidR="00131481" w:rsidRPr="009D2226" w:rsidRDefault="00131481" w:rsidP="009D2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8"/>
        <w:jc w:val="both"/>
        <w:rPr>
          <w:rFonts w:cstheme="minorHAnsi"/>
          <w:i/>
        </w:rPr>
      </w:pPr>
      <w:r w:rsidRPr="009D2226">
        <w:rPr>
          <w:rFonts w:cstheme="minorHAnsi"/>
          <w:b/>
          <w:i/>
          <w:color w:val="000000"/>
          <w:shd w:val="clear" w:color="auto" w:fill="FFFFFF"/>
        </w:rPr>
        <w:t>Art. 37.</w:t>
      </w:r>
      <w:r w:rsidRPr="009D2226">
        <w:rPr>
          <w:rFonts w:cstheme="minorHAnsi"/>
          <w:i/>
          <w:color w:val="000000"/>
          <w:shd w:val="clear" w:color="auto" w:fill="FFFFFF"/>
        </w:rPr>
        <w:t xml:space="preserve"> A administração pública direta e indireta de qualquer dos Poderes da União, dos Estados, do Distrito Federal e dos Municípios obedecerá aos princípios de legalidade, impessoalidade, moralidade, publicidade e eficiência e, também, ao seguinte:</w:t>
      </w:r>
    </w:p>
    <w:p w:rsidR="00131481" w:rsidRPr="009D2226" w:rsidRDefault="00131481" w:rsidP="009D2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8"/>
        <w:jc w:val="both"/>
        <w:rPr>
          <w:rFonts w:cstheme="minorHAnsi"/>
          <w:i/>
        </w:rPr>
      </w:pPr>
      <w:r w:rsidRPr="009D2226">
        <w:rPr>
          <w:rFonts w:cstheme="minorHAnsi"/>
          <w:i/>
        </w:rPr>
        <w:t>(</w:t>
      </w:r>
      <w:proofErr w:type="spellStart"/>
      <w:proofErr w:type="gramStart"/>
      <w:r w:rsidRPr="009D2226">
        <w:rPr>
          <w:rFonts w:cstheme="minorHAnsi"/>
          <w:i/>
        </w:rPr>
        <w:t>omissis</w:t>
      </w:r>
      <w:proofErr w:type="spellEnd"/>
      <w:proofErr w:type="gramEnd"/>
      <w:r w:rsidRPr="009D2226">
        <w:rPr>
          <w:rFonts w:cstheme="minorHAnsi"/>
          <w:i/>
        </w:rPr>
        <w:t>)</w:t>
      </w:r>
    </w:p>
    <w:p w:rsidR="00131481" w:rsidRPr="009D2226" w:rsidRDefault="00131481" w:rsidP="009D2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8"/>
        <w:jc w:val="both"/>
        <w:rPr>
          <w:rFonts w:cstheme="minorHAnsi"/>
          <w:i/>
        </w:rPr>
      </w:pPr>
      <w:r w:rsidRPr="009D2226">
        <w:rPr>
          <w:rFonts w:cstheme="minorHAnsi"/>
          <w:b/>
          <w:i/>
          <w:color w:val="000000"/>
          <w:shd w:val="clear" w:color="auto" w:fill="FFFFFF"/>
        </w:rPr>
        <w:t>XXI –</w:t>
      </w:r>
      <w:r w:rsidRPr="009D2226">
        <w:rPr>
          <w:rFonts w:cstheme="minorHAnsi"/>
          <w:i/>
          <w:color w:val="000000"/>
          <w:shd w:val="clear" w:color="auto" w:fill="FFFFFF"/>
        </w:rPr>
        <w:t xml:space="preserve"> ressalvados os casos especificados na legislação, as obras, serviços, compras e alienações serão contratados mediante processo de licitação pública que assegure igualdade de condições a todos os concorrentes, com cláusulas que estabeleçam obrigações de pagamento, mantidas as condições efetivas da proposta, nos termos da lei, o qual somente permitirá as exigências de qualificação técnica e econômica indispensáveis à garantia do cumprimento das obrigações.</w:t>
      </w:r>
    </w:p>
    <w:p w:rsidR="00131481" w:rsidRDefault="00131481" w:rsidP="00F8035C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</w:p>
    <w:p w:rsidR="009D2226" w:rsidRPr="009D2226" w:rsidRDefault="009D2226" w:rsidP="00F8035C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</w:p>
    <w:p w:rsidR="00131481" w:rsidRPr="009D2226" w:rsidRDefault="00131481" w:rsidP="00F8035C">
      <w:pPr>
        <w:tabs>
          <w:tab w:val="left" w:pos="2268"/>
        </w:tabs>
        <w:spacing w:after="0" w:line="240" w:lineRule="auto"/>
        <w:ind w:firstLine="2268"/>
        <w:jc w:val="both"/>
        <w:rPr>
          <w:rFonts w:cstheme="minorHAnsi"/>
        </w:rPr>
      </w:pPr>
      <w:r w:rsidRPr="009D2226">
        <w:rPr>
          <w:rFonts w:cstheme="minorHAnsi"/>
        </w:rPr>
        <w:t>Por ser exceção, o afastamento do dever de licitar deve ser acolhido pela administração pública apenas em casos excepcionais e que tenham respaldo legal, sob pena de desvirtuamento do mandamento constitucional.</w:t>
      </w:r>
    </w:p>
    <w:p w:rsidR="00131481" w:rsidRPr="009D2226" w:rsidRDefault="00131481" w:rsidP="00F8035C">
      <w:pPr>
        <w:tabs>
          <w:tab w:val="left" w:pos="2268"/>
        </w:tabs>
        <w:spacing w:after="0" w:line="240" w:lineRule="auto"/>
        <w:ind w:firstLine="2268"/>
        <w:jc w:val="both"/>
        <w:rPr>
          <w:rFonts w:cstheme="minorHAnsi"/>
        </w:rPr>
      </w:pPr>
    </w:p>
    <w:p w:rsidR="00131481" w:rsidRPr="009D2226" w:rsidRDefault="00131481" w:rsidP="00F8035C">
      <w:pPr>
        <w:tabs>
          <w:tab w:val="left" w:pos="2268"/>
        </w:tabs>
        <w:spacing w:after="0" w:line="240" w:lineRule="auto"/>
        <w:ind w:firstLine="2268"/>
        <w:jc w:val="both"/>
        <w:rPr>
          <w:rFonts w:cstheme="minorHAnsi"/>
          <w:b/>
        </w:rPr>
      </w:pPr>
      <w:r w:rsidRPr="009D2226">
        <w:rPr>
          <w:rFonts w:cstheme="minorHAnsi"/>
        </w:rPr>
        <w:t>Dentre os casos excepcionados da legislação, estão aqueles nos quais a formalização de processos mais complexos torna-se inviável do ponto de vista prático e da economicidade, são os processos tidos como dispensáveis</w:t>
      </w:r>
      <w:r w:rsidRPr="009D2226">
        <w:rPr>
          <w:rFonts w:cstheme="minorHAnsi"/>
          <w:b/>
        </w:rPr>
        <w:t>.</w:t>
      </w:r>
    </w:p>
    <w:p w:rsidR="00131481" w:rsidRPr="009D2226" w:rsidRDefault="00131481" w:rsidP="00F8035C">
      <w:pPr>
        <w:tabs>
          <w:tab w:val="left" w:pos="2268"/>
        </w:tabs>
        <w:spacing w:after="0" w:line="240" w:lineRule="auto"/>
        <w:ind w:firstLine="2268"/>
        <w:jc w:val="both"/>
        <w:rPr>
          <w:rFonts w:cstheme="minorHAnsi"/>
          <w:b/>
        </w:rPr>
      </w:pPr>
    </w:p>
    <w:p w:rsidR="00F8035C" w:rsidRPr="009D2226" w:rsidRDefault="00131481" w:rsidP="00F8035C">
      <w:pPr>
        <w:tabs>
          <w:tab w:val="left" w:pos="2268"/>
        </w:tabs>
        <w:spacing w:after="0" w:line="240" w:lineRule="auto"/>
        <w:ind w:firstLine="2268"/>
        <w:jc w:val="both"/>
        <w:rPr>
          <w:rFonts w:cstheme="minorHAnsi"/>
          <w:b/>
          <w:u w:val="single"/>
        </w:rPr>
      </w:pPr>
      <w:r w:rsidRPr="009D2226">
        <w:rPr>
          <w:rFonts w:cstheme="minorHAnsi"/>
        </w:rPr>
        <w:t xml:space="preserve">No caso em comento, </w:t>
      </w:r>
      <w:r w:rsidRPr="009D2226">
        <w:rPr>
          <w:rFonts w:cstheme="minorHAnsi"/>
          <w:b/>
          <w:u w:val="single"/>
        </w:rPr>
        <w:t>almeja-se</w:t>
      </w:r>
      <w:r w:rsidR="00C478EB" w:rsidRPr="009D2226">
        <w:rPr>
          <w:rFonts w:cstheme="minorHAnsi"/>
          <w:b/>
          <w:u w:val="single"/>
        </w:rPr>
        <w:t>,</w:t>
      </w:r>
      <w:r w:rsidRPr="009D2226">
        <w:rPr>
          <w:rFonts w:cstheme="minorHAnsi"/>
          <w:b/>
          <w:u w:val="single"/>
        </w:rPr>
        <w:t xml:space="preserve"> a </w:t>
      </w:r>
      <w:r w:rsidRPr="009D2226">
        <w:rPr>
          <w:rFonts w:cstheme="minorHAnsi"/>
          <w:b/>
          <w:color w:val="000000" w:themeColor="text1"/>
          <w:u w:val="single"/>
        </w:rPr>
        <w:t xml:space="preserve">contratação de empresa </w:t>
      </w:r>
      <w:r w:rsidR="000B0B36">
        <w:rPr>
          <w:rFonts w:cstheme="minorHAnsi"/>
          <w:b/>
          <w:color w:val="000000" w:themeColor="text1"/>
          <w:u w:val="single"/>
        </w:rPr>
        <w:t>para fornecimento de equipamento que irá atender a demanda do parque Ecológico municipal</w:t>
      </w:r>
      <w:r w:rsidR="00785C2C" w:rsidRPr="009D2226">
        <w:rPr>
          <w:rFonts w:cstheme="minorHAnsi"/>
          <w:b/>
          <w:u w:val="single"/>
        </w:rPr>
        <w:t>.</w:t>
      </w:r>
    </w:p>
    <w:p w:rsidR="00F8035C" w:rsidRPr="009D2226" w:rsidRDefault="00F8035C" w:rsidP="00F8035C">
      <w:pPr>
        <w:tabs>
          <w:tab w:val="left" w:pos="2268"/>
        </w:tabs>
        <w:spacing w:after="0" w:line="240" w:lineRule="auto"/>
        <w:ind w:firstLine="2268"/>
        <w:jc w:val="both"/>
        <w:rPr>
          <w:rFonts w:cstheme="minorHAnsi"/>
          <w:b/>
          <w:u w:val="single"/>
        </w:rPr>
      </w:pPr>
    </w:p>
    <w:p w:rsidR="00EE4D95" w:rsidRPr="009D2226" w:rsidRDefault="00131481" w:rsidP="00F8035C">
      <w:pPr>
        <w:tabs>
          <w:tab w:val="left" w:pos="2268"/>
        </w:tabs>
        <w:spacing w:after="0" w:line="240" w:lineRule="auto"/>
        <w:ind w:firstLine="2268"/>
        <w:jc w:val="both"/>
        <w:rPr>
          <w:rFonts w:cstheme="minorHAnsi"/>
          <w:b/>
          <w:color w:val="000000"/>
        </w:rPr>
      </w:pPr>
      <w:r w:rsidRPr="009D2226">
        <w:rPr>
          <w:rFonts w:cstheme="minorHAnsi"/>
        </w:rPr>
        <w:t xml:space="preserve">Para tanto, verifica-se que o valor total da aquisição será de </w:t>
      </w:r>
      <w:r w:rsidRPr="009D2226">
        <w:rPr>
          <w:rFonts w:cstheme="minorHAnsi"/>
          <w:b/>
        </w:rPr>
        <w:t>R$</w:t>
      </w:r>
      <w:r w:rsidR="00EE4D95" w:rsidRPr="009D2226">
        <w:rPr>
          <w:rFonts w:cstheme="minorHAnsi"/>
          <w:b/>
          <w:color w:val="000000"/>
        </w:rPr>
        <w:t xml:space="preserve"> </w:t>
      </w:r>
      <w:r w:rsidR="000B0B36">
        <w:rPr>
          <w:rFonts w:cstheme="minorHAnsi"/>
          <w:b/>
          <w:color w:val="000000"/>
        </w:rPr>
        <w:t>9.308,00 (Nove mil, trezentos e oito reais)</w:t>
      </w:r>
      <w:r w:rsidR="00EE4D95" w:rsidRPr="009D2226">
        <w:rPr>
          <w:rFonts w:cstheme="minorHAnsi"/>
          <w:b/>
          <w:color w:val="000000"/>
        </w:rPr>
        <w:t>.</w:t>
      </w:r>
    </w:p>
    <w:p w:rsidR="00131481" w:rsidRPr="009D2226" w:rsidRDefault="00131481" w:rsidP="00F8035C">
      <w:pPr>
        <w:tabs>
          <w:tab w:val="left" w:pos="2268"/>
        </w:tabs>
        <w:spacing w:after="0" w:line="240" w:lineRule="auto"/>
        <w:ind w:firstLine="2268"/>
        <w:jc w:val="both"/>
        <w:rPr>
          <w:rFonts w:cstheme="minorHAnsi"/>
        </w:rPr>
      </w:pPr>
    </w:p>
    <w:p w:rsidR="00131481" w:rsidRPr="009D2226" w:rsidRDefault="00131481" w:rsidP="00F8035C">
      <w:pPr>
        <w:tabs>
          <w:tab w:val="left" w:pos="2268"/>
        </w:tabs>
        <w:spacing w:after="0" w:line="240" w:lineRule="auto"/>
        <w:ind w:firstLine="2268"/>
        <w:jc w:val="both"/>
        <w:rPr>
          <w:rFonts w:cstheme="minorHAnsi"/>
          <w:i/>
        </w:rPr>
      </w:pPr>
      <w:r w:rsidRPr="009D2226">
        <w:rPr>
          <w:rFonts w:cstheme="minorHAnsi"/>
        </w:rPr>
        <w:t xml:space="preserve">Sobre referida contratação, primeiramente, é preciso analisar sob o prisma do </w:t>
      </w:r>
      <w:r w:rsidRPr="009D2226">
        <w:rPr>
          <w:rFonts w:cstheme="minorHAnsi"/>
          <w:b/>
        </w:rPr>
        <w:t>art. 24, II da Lei 8666/93</w:t>
      </w:r>
      <w:r w:rsidRPr="009D2226">
        <w:rPr>
          <w:rFonts w:cstheme="minorHAnsi"/>
        </w:rPr>
        <w:t xml:space="preserve">, </w:t>
      </w:r>
      <w:r w:rsidRPr="009D2226">
        <w:rPr>
          <w:rFonts w:cstheme="minorHAnsi"/>
          <w:i/>
        </w:rPr>
        <w:t xml:space="preserve">in </w:t>
      </w:r>
      <w:proofErr w:type="spellStart"/>
      <w:r w:rsidRPr="009D2226">
        <w:rPr>
          <w:rFonts w:cstheme="minorHAnsi"/>
          <w:i/>
        </w:rPr>
        <w:t>verbis</w:t>
      </w:r>
      <w:proofErr w:type="spellEnd"/>
      <w:r w:rsidRPr="009D2226">
        <w:rPr>
          <w:rFonts w:cstheme="minorHAnsi"/>
          <w:i/>
        </w:rPr>
        <w:t>:</w:t>
      </w:r>
    </w:p>
    <w:p w:rsidR="00131481" w:rsidRDefault="00131481" w:rsidP="00F8035C">
      <w:pPr>
        <w:tabs>
          <w:tab w:val="left" w:pos="2268"/>
        </w:tabs>
        <w:spacing w:after="0" w:line="240" w:lineRule="auto"/>
        <w:jc w:val="both"/>
        <w:rPr>
          <w:rFonts w:cstheme="minorHAnsi"/>
          <w:i/>
        </w:rPr>
      </w:pPr>
    </w:p>
    <w:p w:rsidR="009D2226" w:rsidRPr="009D2226" w:rsidRDefault="009D2226" w:rsidP="00F8035C">
      <w:pPr>
        <w:tabs>
          <w:tab w:val="left" w:pos="2268"/>
        </w:tabs>
        <w:spacing w:after="0" w:line="240" w:lineRule="auto"/>
        <w:jc w:val="both"/>
        <w:rPr>
          <w:rFonts w:cstheme="minorHAnsi"/>
          <w:i/>
        </w:rPr>
      </w:pPr>
    </w:p>
    <w:p w:rsidR="00131481" w:rsidRPr="009D2226" w:rsidRDefault="00131481" w:rsidP="00F80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0" w:line="240" w:lineRule="auto"/>
        <w:ind w:left="1418"/>
        <w:jc w:val="both"/>
        <w:rPr>
          <w:rFonts w:cstheme="minorHAnsi"/>
          <w:color w:val="000000"/>
          <w:shd w:val="clear" w:color="auto" w:fill="FFFFFF"/>
        </w:rPr>
      </w:pPr>
      <w:r w:rsidRPr="009D2226">
        <w:rPr>
          <w:rFonts w:cstheme="minorHAnsi"/>
          <w:b/>
          <w:color w:val="000000"/>
          <w:shd w:val="clear" w:color="auto" w:fill="FFFFFF"/>
        </w:rPr>
        <w:t>Art. 24.</w:t>
      </w:r>
      <w:r w:rsidRPr="009D2226">
        <w:rPr>
          <w:rFonts w:cstheme="minorHAnsi"/>
          <w:color w:val="000000"/>
          <w:shd w:val="clear" w:color="auto" w:fill="FFFFFF"/>
        </w:rPr>
        <w:t xml:space="preserve"> É dispensável a licitação:</w:t>
      </w:r>
    </w:p>
    <w:p w:rsidR="00131481" w:rsidRPr="009D2226" w:rsidRDefault="00131481" w:rsidP="00F80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0" w:line="240" w:lineRule="auto"/>
        <w:ind w:left="1418"/>
        <w:jc w:val="both"/>
        <w:rPr>
          <w:rFonts w:cstheme="minorHAnsi"/>
          <w:b/>
          <w:color w:val="000000"/>
          <w:shd w:val="clear" w:color="auto" w:fill="FFFFFF"/>
        </w:rPr>
      </w:pPr>
      <w:r w:rsidRPr="009D2226">
        <w:rPr>
          <w:rFonts w:cstheme="minorHAnsi"/>
          <w:b/>
          <w:color w:val="000000"/>
          <w:shd w:val="clear" w:color="auto" w:fill="FFFFFF"/>
        </w:rPr>
        <w:t>(...)</w:t>
      </w:r>
    </w:p>
    <w:p w:rsidR="00131481" w:rsidRPr="009D2226" w:rsidRDefault="00131481" w:rsidP="00F80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0" w:line="240" w:lineRule="auto"/>
        <w:ind w:left="1418"/>
        <w:jc w:val="both"/>
        <w:rPr>
          <w:rFonts w:cstheme="minorHAnsi"/>
        </w:rPr>
      </w:pPr>
      <w:r w:rsidRPr="009D2226">
        <w:rPr>
          <w:rFonts w:cstheme="minorHAnsi"/>
          <w:b/>
          <w:color w:val="000000"/>
          <w:shd w:val="clear" w:color="auto" w:fill="FFFFFF"/>
        </w:rPr>
        <w:t>II –</w:t>
      </w:r>
      <w:r w:rsidRPr="009D2226">
        <w:rPr>
          <w:rFonts w:cstheme="minorHAnsi"/>
          <w:color w:val="000000"/>
          <w:shd w:val="clear" w:color="auto" w:fill="FFFFFF"/>
        </w:rPr>
        <w:t xml:space="preserve"> </w:t>
      </w:r>
      <w:proofErr w:type="gramStart"/>
      <w:r w:rsidRPr="009D2226">
        <w:rPr>
          <w:rFonts w:cstheme="minorHAnsi"/>
          <w:color w:val="000000"/>
          <w:shd w:val="clear" w:color="auto" w:fill="FFFFFF"/>
        </w:rPr>
        <w:t>para</w:t>
      </w:r>
      <w:proofErr w:type="gramEnd"/>
      <w:r w:rsidRPr="009D2226">
        <w:rPr>
          <w:rFonts w:cstheme="minorHAnsi"/>
          <w:color w:val="000000"/>
          <w:shd w:val="clear" w:color="auto" w:fill="FFFFFF"/>
        </w:rPr>
        <w:t xml:space="preserve">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</w:t>
      </w:r>
      <w:r w:rsidRPr="009D2226">
        <w:rPr>
          <w:rFonts w:cstheme="minorHAnsi"/>
        </w:rPr>
        <w:t xml:space="preserve"> </w:t>
      </w:r>
    </w:p>
    <w:p w:rsidR="00131481" w:rsidRDefault="00131481" w:rsidP="00F8035C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</w:p>
    <w:p w:rsidR="009D2226" w:rsidRPr="009D2226" w:rsidRDefault="009D2226" w:rsidP="00F8035C">
      <w:pPr>
        <w:tabs>
          <w:tab w:val="left" w:pos="2268"/>
        </w:tabs>
        <w:spacing w:after="0" w:line="240" w:lineRule="auto"/>
        <w:jc w:val="both"/>
        <w:rPr>
          <w:rFonts w:cstheme="minorHAnsi"/>
        </w:rPr>
      </w:pPr>
    </w:p>
    <w:p w:rsidR="00131481" w:rsidRPr="009D2226" w:rsidRDefault="00131481" w:rsidP="00F8035C">
      <w:pPr>
        <w:tabs>
          <w:tab w:val="left" w:pos="2268"/>
        </w:tabs>
        <w:spacing w:after="0" w:line="240" w:lineRule="auto"/>
        <w:ind w:firstLine="2268"/>
        <w:jc w:val="both"/>
        <w:rPr>
          <w:rFonts w:cstheme="minorHAnsi"/>
        </w:rPr>
      </w:pPr>
      <w:r w:rsidRPr="009D2226">
        <w:rPr>
          <w:rFonts w:cstheme="minorHAnsi"/>
        </w:rPr>
        <w:t xml:space="preserve">Nesse passo, importante destacar que nos termos da legislação federal, o teto legal seria de R$ 8.000,00 (oito mil reais), porém, é preciso pontuar que por força do Decreto Federal (Decreto nº 9.412/2018 de 18 de junho de 2018), atualizou os valores da Lei Geral de Licitações, tendo o presente caso um teto de </w:t>
      </w:r>
      <w:r w:rsidRPr="009D2226">
        <w:rPr>
          <w:rFonts w:cstheme="minorHAnsi"/>
          <w:b/>
          <w:u w:val="single"/>
        </w:rPr>
        <w:t>R$ 17.600,00 (dezessete mil e seiscentos reais)</w:t>
      </w:r>
      <w:r w:rsidRPr="009D2226">
        <w:rPr>
          <w:rFonts w:cstheme="minorHAnsi"/>
        </w:rPr>
        <w:t>.</w:t>
      </w:r>
    </w:p>
    <w:p w:rsidR="00F8035C" w:rsidRPr="009D2226" w:rsidRDefault="00F8035C" w:rsidP="00F8035C">
      <w:pPr>
        <w:tabs>
          <w:tab w:val="left" w:pos="2268"/>
        </w:tabs>
        <w:spacing w:after="0" w:line="240" w:lineRule="auto"/>
        <w:ind w:firstLine="2268"/>
        <w:jc w:val="both"/>
        <w:rPr>
          <w:rFonts w:cstheme="minorHAnsi"/>
        </w:rPr>
      </w:pPr>
    </w:p>
    <w:p w:rsidR="00131481" w:rsidRPr="009D2226" w:rsidRDefault="00131481" w:rsidP="00F8035C">
      <w:pPr>
        <w:tabs>
          <w:tab w:val="left" w:pos="2268"/>
        </w:tabs>
        <w:spacing w:after="0" w:line="240" w:lineRule="auto"/>
        <w:ind w:firstLine="2268"/>
        <w:jc w:val="both"/>
        <w:rPr>
          <w:rFonts w:cstheme="minorHAnsi"/>
          <w:b/>
        </w:rPr>
      </w:pPr>
      <w:r w:rsidRPr="009D2226">
        <w:rPr>
          <w:rFonts w:cstheme="minorHAnsi"/>
        </w:rPr>
        <w:lastRenderedPageBreak/>
        <w:t>Diante do reajuste promovido pelo decreto federal, o valor teto, para formalização do presente processo, foi atualizado, ou seja, analisando do ponto de vista estritamente jurídico e considerando a necessidade de adquirir o objeto do presente processo</w:t>
      </w:r>
      <w:r w:rsidRPr="009D2226">
        <w:rPr>
          <w:rFonts w:cstheme="minorHAnsi"/>
          <w:b/>
        </w:rPr>
        <w:t>, vislumbra-se</w:t>
      </w:r>
      <w:r w:rsidR="00496436" w:rsidRPr="009D2226">
        <w:rPr>
          <w:rFonts w:cstheme="minorHAnsi"/>
          <w:b/>
        </w:rPr>
        <w:t>,</w:t>
      </w:r>
      <w:r w:rsidRPr="009D2226">
        <w:rPr>
          <w:rFonts w:cstheme="minorHAnsi"/>
          <w:b/>
        </w:rPr>
        <w:t xml:space="preserve"> a possibilidade para formalização de processo de dispensa.</w:t>
      </w:r>
    </w:p>
    <w:p w:rsidR="00131481" w:rsidRPr="009D2226" w:rsidRDefault="00131481" w:rsidP="00F8035C">
      <w:pPr>
        <w:tabs>
          <w:tab w:val="left" w:pos="2268"/>
        </w:tabs>
        <w:spacing w:after="0" w:line="240" w:lineRule="auto"/>
        <w:ind w:firstLine="2268"/>
        <w:jc w:val="both"/>
        <w:rPr>
          <w:rFonts w:cstheme="minorHAnsi"/>
          <w:b/>
        </w:rPr>
      </w:pPr>
    </w:p>
    <w:p w:rsidR="00131481" w:rsidRPr="009D2226" w:rsidRDefault="00496436" w:rsidP="00F8035C">
      <w:pPr>
        <w:tabs>
          <w:tab w:val="left" w:pos="2268"/>
        </w:tabs>
        <w:spacing w:after="0" w:line="240" w:lineRule="auto"/>
        <w:ind w:firstLine="2268"/>
        <w:jc w:val="both"/>
        <w:rPr>
          <w:rFonts w:cstheme="minorHAnsi"/>
          <w:b/>
        </w:rPr>
      </w:pPr>
      <w:r w:rsidRPr="009D2226">
        <w:rPr>
          <w:rFonts w:cstheme="minorHAnsi"/>
        </w:rPr>
        <w:t>No entanto, é preciso que o Gestor P</w:t>
      </w:r>
      <w:r w:rsidR="00131481" w:rsidRPr="009D2226">
        <w:rPr>
          <w:rFonts w:cstheme="minorHAnsi"/>
        </w:rPr>
        <w:t xml:space="preserve">úblico, quando da escolha e da evidente necessidade de contratação, tome os cuidados necessários, para que referida contratação não exceda o valor de mercado (dentro da razoabilidade) e que sejam respeitados os princípios da legalidade, impessoalidade, moralidade, publicidade e eficiência </w:t>
      </w:r>
      <w:r w:rsidR="00131481" w:rsidRPr="009D2226">
        <w:rPr>
          <w:rFonts w:cstheme="minorHAnsi"/>
          <w:b/>
        </w:rPr>
        <w:t>(Art. 37 CF/88).</w:t>
      </w:r>
    </w:p>
    <w:p w:rsidR="00F8035C" w:rsidRPr="009D2226" w:rsidRDefault="00F8035C" w:rsidP="00F8035C">
      <w:pPr>
        <w:tabs>
          <w:tab w:val="left" w:pos="2268"/>
        </w:tabs>
        <w:spacing w:after="0" w:line="240" w:lineRule="auto"/>
        <w:ind w:firstLine="2268"/>
        <w:jc w:val="both"/>
        <w:rPr>
          <w:rFonts w:cstheme="minorHAnsi"/>
          <w:b/>
        </w:rPr>
      </w:pPr>
    </w:p>
    <w:p w:rsidR="00131481" w:rsidRPr="009D2226" w:rsidRDefault="00131481" w:rsidP="00F8035C">
      <w:pPr>
        <w:tabs>
          <w:tab w:val="left" w:pos="2268"/>
        </w:tabs>
        <w:spacing w:after="0" w:line="240" w:lineRule="auto"/>
        <w:ind w:firstLine="2268"/>
        <w:jc w:val="both"/>
        <w:rPr>
          <w:rFonts w:cstheme="minorHAnsi"/>
        </w:rPr>
      </w:pPr>
      <w:r w:rsidRPr="009D2226">
        <w:rPr>
          <w:rFonts w:cstheme="minorHAnsi"/>
        </w:rPr>
        <w:t>Ainda</w:t>
      </w:r>
      <w:r w:rsidR="00496436" w:rsidRPr="009D2226">
        <w:rPr>
          <w:rFonts w:cstheme="minorHAnsi"/>
        </w:rPr>
        <w:t>,</w:t>
      </w:r>
      <w:r w:rsidRPr="009D2226">
        <w:rPr>
          <w:rFonts w:cstheme="minorHAnsi"/>
        </w:rPr>
        <w:t xml:space="preserve"> podemos incluir na presente análise, se o objeto a ser contratado atende </w:t>
      </w:r>
      <w:r w:rsidR="00496436" w:rsidRPr="009D2226">
        <w:rPr>
          <w:rFonts w:cstheme="minorHAnsi"/>
        </w:rPr>
        <w:t>a</w:t>
      </w:r>
      <w:r w:rsidRPr="009D2226">
        <w:rPr>
          <w:rFonts w:cstheme="minorHAnsi"/>
        </w:rPr>
        <w:t>o interesse público, o que por hora, parece ter atendido, tendo em vist</w:t>
      </w:r>
      <w:r w:rsidR="00496436" w:rsidRPr="009D2226">
        <w:rPr>
          <w:rFonts w:cstheme="minorHAnsi"/>
        </w:rPr>
        <w:t>a o interesse apresentado pela Administração Municipal, por meio da S</w:t>
      </w:r>
      <w:r w:rsidRPr="009D2226">
        <w:rPr>
          <w:rFonts w:cstheme="minorHAnsi"/>
        </w:rPr>
        <w:t>ecretaria solicitante que formalizou o Termo de Referência.</w:t>
      </w:r>
    </w:p>
    <w:p w:rsidR="00131481" w:rsidRPr="009D2226" w:rsidRDefault="00131481" w:rsidP="00F8035C">
      <w:pPr>
        <w:tabs>
          <w:tab w:val="left" w:pos="2268"/>
        </w:tabs>
        <w:spacing w:after="0" w:line="240" w:lineRule="auto"/>
        <w:ind w:firstLine="2268"/>
        <w:jc w:val="both"/>
        <w:rPr>
          <w:rFonts w:cstheme="minorHAnsi"/>
        </w:rPr>
      </w:pPr>
    </w:p>
    <w:p w:rsidR="00131481" w:rsidRPr="009D2226" w:rsidRDefault="00131481" w:rsidP="00F8035C">
      <w:pPr>
        <w:pStyle w:val="NormalWeb"/>
        <w:spacing w:before="0" w:beforeAutospacing="0" w:after="0" w:afterAutospacing="0"/>
        <w:ind w:firstLine="226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D2226">
        <w:rPr>
          <w:rFonts w:asciiTheme="minorHAnsi" w:hAnsiTheme="minorHAnsi" w:cstheme="minorHAnsi"/>
          <w:b/>
          <w:bCs/>
          <w:sz w:val="22"/>
          <w:szCs w:val="22"/>
          <w:u w:val="single"/>
        </w:rPr>
        <w:t>Nesse rumo, reforça-se as</w:t>
      </w:r>
      <w:r w:rsidR="00496436" w:rsidRPr="009D222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orientações apresentadas pela Administração M</w:t>
      </w:r>
      <w:r w:rsidRPr="009D2226">
        <w:rPr>
          <w:rFonts w:asciiTheme="minorHAnsi" w:hAnsiTheme="minorHAnsi" w:cstheme="minorHAnsi"/>
          <w:b/>
          <w:bCs/>
          <w:sz w:val="22"/>
          <w:szCs w:val="22"/>
          <w:u w:val="single"/>
        </w:rPr>
        <w:t>unicipal quando do encaminhamento do Ofício SMA nº 191/2020 de 27/05/2020, onde foram feitos apontamentos para os cuidados com a abertura de processo de dispensa de licitação, lembrando que</w:t>
      </w:r>
      <w:r w:rsidR="00496436" w:rsidRPr="009D2226">
        <w:rPr>
          <w:rFonts w:asciiTheme="minorHAnsi" w:hAnsiTheme="minorHAnsi" w:cstheme="minorHAnsi"/>
          <w:b/>
          <w:bCs/>
          <w:sz w:val="22"/>
          <w:szCs w:val="22"/>
          <w:u w:val="single"/>
        </w:rPr>
        <w:t>,</w:t>
      </w:r>
      <w:r w:rsidRPr="009D222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tal trâmite deve ser aplicado somente como exceção e não como regra quando o assunto são compras públicas.</w:t>
      </w:r>
    </w:p>
    <w:p w:rsidR="00F8035C" w:rsidRPr="009D2226" w:rsidRDefault="00F8035C" w:rsidP="00F8035C">
      <w:pPr>
        <w:pStyle w:val="NormalWeb"/>
        <w:spacing w:before="0" w:beforeAutospacing="0" w:after="0" w:afterAutospacing="0"/>
        <w:ind w:firstLine="226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131481" w:rsidRPr="009D2226" w:rsidRDefault="00131481" w:rsidP="00F8035C">
      <w:pPr>
        <w:pStyle w:val="NormalWeb"/>
        <w:spacing w:before="0" w:beforeAutospacing="0" w:after="0" w:afterAutospacing="0"/>
        <w:ind w:firstLine="226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2226">
        <w:rPr>
          <w:rFonts w:asciiTheme="minorHAnsi" w:hAnsiTheme="minorHAnsi" w:cstheme="minorHAnsi"/>
          <w:bCs/>
          <w:sz w:val="22"/>
          <w:szCs w:val="22"/>
        </w:rPr>
        <w:t>Outrossim, importante ressaltar que</w:t>
      </w:r>
      <w:r w:rsidR="00496436" w:rsidRPr="009D2226">
        <w:rPr>
          <w:rFonts w:asciiTheme="minorHAnsi" w:hAnsiTheme="minorHAnsi" w:cstheme="minorHAnsi"/>
          <w:bCs/>
          <w:sz w:val="22"/>
          <w:szCs w:val="22"/>
        </w:rPr>
        <w:t>,</w:t>
      </w:r>
      <w:r w:rsidRPr="009D2226">
        <w:rPr>
          <w:rFonts w:asciiTheme="minorHAnsi" w:hAnsiTheme="minorHAnsi" w:cstheme="minorHAnsi"/>
          <w:bCs/>
          <w:sz w:val="22"/>
          <w:szCs w:val="22"/>
        </w:rPr>
        <w:t xml:space="preserve"> a empresa a ser contratada deve estar devidament</w:t>
      </w:r>
      <w:r w:rsidR="00496436" w:rsidRPr="009D2226">
        <w:rPr>
          <w:rFonts w:asciiTheme="minorHAnsi" w:hAnsiTheme="minorHAnsi" w:cstheme="minorHAnsi"/>
          <w:bCs/>
          <w:sz w:val="22"/>
          <w:szCs w:val="22"/>
        </w:rPr>
        <w:t>e regularizada junto ao CRC do M</w:t>
      </w:r>
      <w:r w:rsidRPr="009D2226">
        <w:rPr>
          <w:rFonts w:asciiTheme="minorHAnsi" w:hAnsiTheme="minorHAnsi" w:cstheme="minorHAnsi"/>
          <w:bCs/>
          <w:sz w:val="22"/>
          <w:szCs w:val="22"/>
        </w:rPr>
        <w:t>unicípio, a fim de, possibilitar o pagamento do objeto licitado</w:t>
      </w:r>
      <w:r w:rsidRPr="009D222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F8035C" w:rsidRPr="009D2226" w:rsidRDefault="00F8035C" w:rsidP="00F8035C">
      <w:pPr>
        <w:pStyle w:val="NormalWeb"/>
        <w:spacing w:before="0" w:beforeAutospacing="0" w:after="0" w:afterAutospacing="0"/>
        <w:ind w:firstLine="226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31481" w:rsidRPr="009D2226" w:rsidRDefault="00131481" w:rsidP="00F8035C">
      <w:pPr>
        <w:pStyle w:val="NormalWeb"/>
        <w:spacing w:before="0" w:beforeAutospacing="0" w:after="0" w:afterAutospacing="0"/>
        <w:ind w:firstLine="226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2226">
        <w:rPr>
          <w:rFonts w:asciiTheme="minorHAnsi" w:hAnsiTheme="minorHAnsi" w:cstheme="minorHAnsi"/>
          <w:bCs/>
          <w:sz w:val="22"/>
          <w:szCs w:val="22"/>
        </w:rPr>
        <w:t xml:space="preserve">Diante do exposto, entendo que a contratação poderá ser efetivada, de forma direta, tendo em vista que, a referida contratação enquadra-se nas hipóteses de dispensa de licitação, definida no </w:t>
      </w:r>
      <w:r w:rsidRPr="009D2226">
        <w:rPr>
          <w:rFonts w:asciiTheme="minorHAnsi" w:hAnsiTheme="minorHAnsi" w:cstheme="minorHAnsi"/>
          <w:b/>
          <w:bCs/>
          <w:sz w:val="22"/>
          <w:szCs w:val="22"/>
        </w:rPr>
        <w:t>inciso II do artigo 24 da Lei 8.666/93 e Decreto Federal 9.412/2018.</w:t>
      </w:r>
    </w:p>
    <w:p w:rsidR="00F8035C" w:rsidRPr="009D2226" w:rsidRDefault="00F8035C" w:rsidP="00F8035C">
      <w:pPr>
        <w:pStyle w:val="NormalWeb"/>
        <w:spacing w:before="0" w:beforeAutospacing="0" w:after="0" w:afterAutospacing="0"/>
        <w:ind w:firstLine="2268"/>
        <w:jc w:val="both"/>
        <w:rPr>
          <w:rFonts w:asciiTheme="minorHAnsi" w:hAnsiTheme="minorHAnsi" w:cstheme="minorHAnsi"/>
          <w:sz w:val="22"/>
          <w:szCs w:val="22"/>
        </w:rPr>
      </w:pPr>
    </w:p>
    <w:p w:rsidR="00131481" w:rsidRPr="009D2226" w:rsidRDefault="00131481" w:rsidP="00F8035C">
      <w:pPr>
        <w:tabs>
          <w:tab w:val="left" w:pos="2268"/>
        </w:tabs>
        <w:spacing w:after="0" w:line="240" w:lineRule="auto"/>
        <w:ind w:firstLine="2268"/>
        <w:jc w:val="both"/>
        <w:rPr>
          <w:rFonts w:cstheme="minorHAnsi"/>
        </w:rPr>
      </w:pPr>
      <w:r w:rsidRPr="009D2226">
        <w:rPr>
          <w:rFonts w:cstheme="minorHAnsi"/>
        </w:rPr>
        <w:t>Por fim, registramos que para novas aquisições caberá a secretaria interessada, formalizar o correto processo licitatório, a fim de, garantir a mais ampla e irrestrita participação de empresas interessadas.</w:t>
      </w:r>
    </w:p>
    <w:p w:rsidR="00131481" w:rsidRPr="009D2226" w:rsidRDefault="00131481" w:rsidP="00F8035C">
      <w:pPr>
        <w:tabs>
          <w:tab w:val="left" w:pos="2268"/>
        </w:tabs>
        <w:spacing w:after="0" w:line="240" w:lineRule="auto"/>
        <w:ind w:firstLine="2268"/>
        <w:jc w:val="both"/>
        <w:rPr>
          <w:rFonts w:cstheme="minorHAnsi"/>
        </w:rPr>
      </w:pPr>
    </w:p>
    <w:p w:rsidR="00131481" w:rsidRPr="009D2226" w:rsidRDefault="00131481" w:rsidP="00F8035C">
      <w:pPr>
        <w:tabs>
          <w:tab w:val="left" w:pos="2268"/>
        </w:tabs>
        <w:spacing w:after="0" w:line="240" w:lineRule="auto"/>
        <w:ind w:firstLine="2268"/>
        <w:jc w:val="both"/>
        <w:rPr>
          <w:rFonts w:cstheme="minorHAnsi"/>
        </w:rPr>
      </w:pPr>
      <w:r w:rsidRPr="009D2226">
        <w:rPr>
          <w:rFonts w:cstheme="minorHAnsi"/>
        </w:rPr>
        <w:t>O presente parecer é prestado sob o prisma estritamente jurídico, não competindo a essa assessoria jurídica adentrar no mérito da conveniência e oportunidade dos atos praticados pelos gestores públicos.</w:t>
      </w:r>
    </w:p>
    <w:p w:rsidR="002C50D1" w:rsidRPr="009D2226" w:rsidRDefault="002C50D1" w:rsidP="00F8035C">
      <w:pPr>
        <w:spacing w:after="0" w:line="240" w:lineRule="auto"/>
        <w:ind w:firstLine="2268"/>
        <w:jc w:val="both"/>
        <w:rPr>
          <w:rFonts w:cstheme="minorHAnsi"/>
        </w:rPr>
      </w:pPr>
    </w:p>
    <w:p w:rsidR="00131481" w:rsidRPr="009D2226" w:rsidRDefault="00131481" w:rsidP="00F8035C">
      <w:pPr>
        <w:spacing w:after="0" w:line="240" w:lineRule="auto"/>
        <w:ind w:firstLine="2268"/>
        <w:jc w:val="both"/>
        <w:rPr>
          <w:rFonts w:cstheme="minorHAnsi"/>
        </w:rPr>
      </w:pPr>
      <w:r w:rsidRPr="009D2226">
        <w:rPr>
          <w:rFonts w:cstheme="minorHAnsi"/>
        </w:rPr>
        <w:t>É o parecer, salvo melhor juízo.</w:t>
      </w:r>
    </w:p>
    <w:p w:rsidR="002C50D1" w:rsidRPr="009D2226" w:rsidRDefault="002C50D1" w:rsidP="00F8035C">
      <w:pPr>
        <w:spacing w:after="0" w:line="240" w:lineRule="auto"/>
        <w:ind w:firstLine="2268"/>
        <w:jc w:val="both"/>
        <w:rPr>
          <w:rFonts w:cstheme="minorHAnsi"/>
        </w:rPr>
      </w:pPr>
    </w:p>
    <w:p w:rsidR="002C50D1" w:rsidRPr="009D2226" w:rsidRDefault="00F45310" w:rsidP="00F8035C">
      <w:pPr>
        <w:spacing w:after="0" w:line="240" w:lineRule="auto"/>
        <w:ind w:firstLine="2268"/>
        <w:jc w:val="both"/>
        <w:rPr>
          <w:rFonts w:cstheme="minorHAnsi"/>
        </w:rPr>
      </w:pPr>
      <w:r w:rsidRPr="009D2226">
        <w:rPr>
          <w:rFonts w:cstheme="minorHAnsi"/>
        </w:rPr>
        <w:t xml:space="preserve">Sorriso-MT, </w:t>
      </w:r>
      <w:r w:rsidR="004C3787">
        <w:rPr>
          <w:rFonts w:cstheme="minorHAnsi"/>
        </w:rPr>
        <w:t>28</w:t>
      </w:r>
      <w:bookmarkStart w:id="0" w:name="_GoBack"/>
      <w:bookmarkEnd w:id="0"/>
      <w:r w:rsidR="001D2F31" w:rsidRPr="009D2226">
        <w:rPr>
          <w:rFonts w:cstheme="minorHAnsi"/>
        </w:rPr>
        <w:t xml:space="preserve"> de </w:t>
      </w:r>
      <w:r w:rsidR="004C3787">
        <w:rPr>
          <w:rFonts w:cstheme="minorHAnsi"/>
        </w:rPr>
        <w:t>dezem</w:t>
      </w:r>
      <w:r w:rsidR="001D2F31" w:rsidRPr="009D2226">
        <w:rPr>
          <w:rFonts w:cstheme="minorHAnsi"/>
        </w:rPr>
        <w:t xml:space="preserve">bro </w:t>
      </w:r>
      <w:r w:rsidR="004B589B" w:rsidRPr="009D2226">
        <w:rPr>
          <w:rFonts w:cstheme="minorHAnsi"/>
        </w:rPr>
        <w:t>de 2020.</w:t>
      </w:r>
    </w:p>
    <w:p w:rsidR="00F8035C" w:rsidRPr="009D2226" w:rsidRDefault="00F8035C" w:rsidP="00F8035C">
      <w:pPr>
        <w:spacing w:after="0" w:line="240" w:lineRule="auto"/>
        <w:ind w:firstLine="2268"/>
        <w:jc w:val="both"/>
        <w:rPr>
          <w:rFonts w:cstheme="minorHAnsi"/>
        </w:rPr>
      </w:pPr>
    </w:p>
    <w:p w:rsidR="00BD5331" w:rsidRPr="009D2226" w:rsidRDefault="00BD5331" w:rsidP="00F8035C">
      <w:pPr>
        <w:spacing w:after="0" w:line="240" w:lineRule="auto"/>
        <w:ind w:firstLine="2268"/>
        <w:jc w:val="both"/>
        <w:rPr>
          <w:rFonts w:cstheme="minorHAnsi"/>
        </w:rPr>
      </w:pPr>
    </w:p>
    <w:p w:rsidR="00BD5331" w:rsidRDefault="00BD5331" w:rsidP="00F8035C">
      <w:pPr>
        <w:spacing w:after="0" w:line="240" w:lineRule="auto"/>
        <w:ind w:firstLine="2268"/>
        <w:jc w:val="both"/>
        <w:rPr>
          <w:rFonts w:cstheme="minorHAnsi"/>
        </w:rPr>
      </w:pPr>
    </w:p>
    <w:p w:rsidR="004C3787" w:rsidRPr="009D2226" w:rsidRDefault="004C3787" w:rsidP="00F8035C">
      <w:pPr>
        <w:spacing w:after="0" w:line="240" w:lineRule="auto"/>
        <w:ind w:firstLine="2268"/>
        <w:jc w:val="both"/>
        <w:rPr>
          <w:rFonts w:cstheme="minorHAnsi"/>
        </w:rPr>
      </w:pPr>
    </w:p>
    <w:p w:rsidR="00F8035C" w:rsidRPr="009D2226" w:rsidRDefault="00606FCE" w:rsidP="00F8035C">
      <w:pPr>
        <w:spacing w:after="0" w:line="240" w:lineRule="auto"/>
        <w:jc w:val="center"/>
        <w:rPr>
          <w:rFonts w:cstheme="minorHAnsi"/>
          <w:b/>
        </w:rPr>
      </w:pPr>
      <w:r w:rsidRPr="009D2226">
        <w:rPr>
          <w:rFonts w:cstheme="minorHAnsi"/>
          <w:b/>
        </w:rPr>
        <w:t>ESLEN PARRON MENDES</w:t>
      </w:r>
    </w:p>
    <w:p w:rsidR="00165EEF" w:rsidRPr="009D2226" w:rsidRDefault="004B589B" w:rsidP="00F8035C">
      <w:pPr>
        <w:spacing w:after="0" w:line="240" w:lineRule="auto"/>
        <w:jc w:val="center"/>
        <w:rPr>
          <w:rFonts w:cstheme="minorHAnsi"/>
        </w:rPr>
      </w:pPr>
      <w:r w:rsidRPr="009D2226">
        <w:rPr>
          <w:rFonts w:cstheme="minorHAnsi"/>
          <w:b/>
        </w:rPr>
        <w:t xml:space="preserve">OAB/MT </w:t>
      </w:r>
      <w:r w:rsidR="00606FCE" w:rsidRPr="009D2226">
        <w:rPr>
          <w:rFonts w:cstheme="minorHAnsi"/>
          <w:b/>
        </w:rPr>
        <w:t>17.909</w:t>
      </w:r>
    </w:p>
    <w:sectPr w:rsidR="00165EEF" w:rsidRPr="009D2226" w:rsidSect="0031531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422" w:rsidRDefault="00BD6422" w:rsidP="00A41246">
      <w:pPr>
        <w:spacing w:after="0" w:line="240" w:lineRule="auto"/>
      </w:pPr>
      <w:r>
        <w:separator/>
      </w:r>
    </w:p>
  </w:endnote>
  <w:endnote w:type="continuationSeparator" w:id="0">
    <w:p w:rsidR="00BD6422" w:rsidRDefault="00BD6422" w:rsidP="00A4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422" w:rsidRPr="00A41246" w:rsidRDefault="00BD6422">
    <w:pPr>
      <w:pStyle w:val="Rodap"/>
      <w:rPr>
        <w:color w:val="1F497D" w:themeColor="text2"/>
      </w:rPr>
    </w:pPr>
    <w:r w:rsidRPr="00A41246">
      <w:rPr>
        <w:color w:val="1F497D" w:themeColor="text2"/>
      </w:rPr>
      <w:t>Av. Porto Alegre, n°2525, Centro – Sorriso/MT – CEP: 78890-000 | Tel.: (66) 3545-4700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422" w:rsidRDefault="00BD6422" w:rsidP="00A41246">
      <w:pPr>
        <w:spacing w:after="0" w:line="240" w:lineRule="auto"/>
      </w:pPr>
      <w:r>
        <w:separator/>
      </w:r>
    </w:p>
  </w:footnote>
  <w:footnote w:type="continuationSeparator" w:id="0">
    <w:p w:rsidR="00BD6422" w:rsidRDefault="00BD6422" w:rsidP="00A4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422" w:rsidRDefault="00BD6422" w:rsidP="00A41246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277FAE" wp14:editId="695A1345">
          <wp:simplePos x="0" y="0"/>
          <wp:positionH relativeFrom="column">
            <wp:posOffset>4986710</wp:posOffset>
          </wp:positionH>
          <wp:positionV relativeFrom="paragraph">
            <wp:posOffset>-75868</wp:posOffset>
          </wp:positionV>
          <wp:extent cx="1113183" cy="922352"/>
          <wp:effectExtent l="0" t="0" r="0" b="0"/>
          <wp:wrapNone/>
          <wp:docPr id="6" name="Imagem 4" descr="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175" cy="9231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FA22ED5" wp14:editId="4BEB8961">
          <wp:extent cx="3533049" cy="914400"/>
          <wp:effectExtent l="0" t="0" r="0" b="0"/>
          <wp:docPr id="1" name="Imagem 0" descr="LOGO OFICIAL PREFEITURA  2017-2010 -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FICIAL PREFEITURA  2017-2010 - C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40446" cy="91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6422" w:rsidRPr="0062029C" w:rsidRDefault="00BD6422" w:rsidP="00A41246">
    <w:pPr>
      <w:pStyle w:val="Cabealho"/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46"/>
    <w:rsid w:val="00007005"/>
    <w:rsid w:val="00017278"/>
    <w:rsid w:val="000B0B36"/>
    <w:rsid w:val="000C007A"/>
    <w:rsid w:val="000F0C5B"/>
    <w:rsid w:val="000F4A6F"/>
    <w:rsid w:val="00114D66"/>
    <w:rsid w:val="001270E3"/>
    <w:rsid w:val="00131481"/>
    <w:rsid w:val="00161DB0"/>
    <w:rsid w:val="00165EEF"/>
    <w:rsid w:val="00171A99"/>
    <w:rsid w:val="001A59CF"/>
    <w:rsid w:val="001B7EE1"/>
    <w:rsid w:val="001C4180"/>
    <w:rsid w:val="001D2F31"/>
    <w:rsid w:val="001D77C0"/>
    <w:rsid w:val="00241697"/>
    <w:rsid w:val="00242482"/>
    <w:rsid w:val="002510FB"/>
    <w:rsid w:val="002577E7"/>
    <w:rsid w:val="002C151C"/>
    <w:rsid w:val="002C50D1"/>
    <w:rsid w:val="00302C53"/>
    <w:rsid w:val="003125D6"/>
    <w:rsid w:val="00312AC6"/>
    <w:rsid w:val="00315314"/>
    <w:rsid w:val="00361902"/>
    <w:rsid w:val="0039041D"/>
    <w:rsid w:val="0039429A"/>
    <w:rsid w:val="00394C8C"/>
    <w:rsid w:val="00396709"/>
    <w:rsid w:val="003A589D"/>
    <w:rsid w:val="003E506A"/>
    <w:rsid w:val="004034FB"/>
    <w:rsid w:val="00403BE7"/>
    <w:rsid w:val="004050F5"/>
    <w:rsid w:val="00412594"/>
    <w:rsid w:val="00433DF4"/>
    <w:rsid w:val="00440272"/>
    <w:rsid w:val="00496436"/>
    <w:rsid w:val="004A6426"/>
    <w:rsid w:val="004B589B"/>
    <w:rsid w:val="004C3787"/>
    <w:rsid w:val="004F59D5"/>
    <w:rsid w:val="005210CE"/>
    <w:rsid w:val="00561E1D"/>
    <w:rsid w:val="00565842"/>
    <w:rsid w:val="005B271B"/>
    <w:rsid w:val="00606FCE"/>
    <w:rsid w:val="00610295"/>
    <w:rsid w:val="0062029C"/>
    <w:rsid w:val="006666B5"/>
    <w:rsid w:val="00671B9F"/>
    <w:rsid w:val="00672D85"/>
    <w:rsid w:val="00696C9A"/>
    <w:rsid w:val="006A62A4"/>
    <w:rsid w:val="00707376"/>
    <w:rsid w:val="00752C08"/>
    <w:rsid w:val="00785C2C"/>
    <w:rsid w:val="007D45F1"/>
    <w:rsid w:val="00814B8B"/>
    <w:rsid w:val="00816284"/>
    <w:rsid w:val="0081738B"/>
    <w:rsid w:val="00841394"/>
    <w:rsid w:val="00841A0C"/>
    <w:rsid w:val="00850540"/>
    <w:rsid w:val="00852E6C"/>
    <w:rsid w:val="008801E6"/>
    <w:rsid w:val="00916A37"/>
    <w:rsid w:val="009528D1"/>
    <w:rsid w:val="00957D51"/>
    <w:rsid w:val="009D2226"/>
    <w:rsid w:val="009E4BC4"/>
    <w:rsid w:val="009F07CE"/>
    <w:rsid w:val="00A23EC5"/>
    <w:rsid w:val="00A41246"/>
    <w:rsid w:val="00A467C9"/>
    <w:rsid w:val="00AB6196"/>
    <w:rsid w:val="00AF4B97"/>
    <w:rsid w:val="00B87FAE"/>
    <w:rsid w:val="00BA098B"/>
    <w:rsid w:val="00BB6031"/>
    <w:rsid w:val="00BD5331"/>
    <w:rsid w:val="00BD6422"/>
    <w:rsid w:val="00BF02C9"/>
    <w:rsid w:val="00C161AC"/>
    <w:rsid w:val="00C478EB"/>
    <w:rsid w:val="00CD2FA4"/>
    <w:rsid w:val="00E13BC5"/>
    <w:rsid w:val="00E33282"/>
    <w:rsid w:val="00E360D5"/>
    <w:rsid w:val="00E5544C"/>
    <w:rsid w:val="00E62E64"/>
    <w:rsid w:val="00E643E7"/>
    <w:rsid w:val="00EE4D95"/>
    <w:rsid w:val="00EF5FE3"/>
    <w:rsid w:val="00F12AED"/>
    <w:rsid w:val="00F27C20"/>
    <w:rsid w:val="00F41295"/>
    <w:rsid w:val="00F42B64"/>
    <w:rsid w:val="00F45310"/>
    <w:rsid w:val="00F8035C"/>
    <w:rsid w:val="00F92A8C"/>
    <w:rsid w:val="00FB024C"/>
    <w:rsid w:val="00FB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033D3"/>
  <w15:docId w15:val="{E90767E4-ECDC-42E6-8343-B38A3A08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1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1246"/>
  </w:style>
  <w:style w:type="paragraph" w:styleId="Rodap">
    <w:name w:val="footer"/>
    <w:basedOn w:val="Normal"/>
    <w:link w:val="RodapChar"/>
    <w:uiPriority w:val="99"/>
    <w:unhideWhenUsed/>
    <w:rsid w:val="00A41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246"/>
  </w:style>
  <w:style w:type="paragraph" w:styleId="Textodebalo">
    <w:name w:val="Balloon Text"/>
    <w:basedOn w:val="Normal"/>
    <w:link w:val="TextodebaloChar"/>
    <w:uiPriority w:val="99"/>
    <w:semiHidden/>
    <w:unhideWhenUsed/>
    <w:rsid w:val="00A4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246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957D51"/>
    <w:rPr>
      <w:b/>
      <w:bCs/>
    </w:rPr>
  </w:style>
  <w:style w:type="paragraph" w:styleId="NormalWeb">
    <w:name w:val="Normal (Web)"/>
    <w:basedOn w:val="Normal"/>
    <w:uiPriority w:val="99"/>
    <w:rsid w:val="0095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uiPriority w:val="20"/>
    <w:qFormat/>
    <w:rsid w:val="00957D51"/>
    <w:rPr>
      <w:i/>
      <w:iCs/>
    </w:rPr>
  </w:style>
  <w:style w:type="paragraph" w:styleId="Recuodecorpodetexto3">
    <w:name w:val="Body Text Indent 3"/>
    <w:basedOn w:val="Normal"/>
    <w:link w:val="Recuodecorpodetexto3Char"/>
    <w:rsid w:val="00957D51"/>
    <w:pPr>
      <w:spacing w:after="0" w:line="288" w:lineRule="auto"/>
      <w:ind w:firstLine="2832"/>
      <w:jc w:val="both"/>
    </w:pPr>
    <w:rPr>
      <w:rFonts w:ascii="Times New Roman" w:eastAsia="Times New Roman" w:hAnsi="Times New Roman" w:cs="Times New Roman"/>
      <w:bCs/>
      <w:sz w:val="25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957D51"/>
    <w:rPr>
      <w:rFonts w:ascii="Times New Roman" w:eastAsia="Times New Roman" w:hAnsi="Times New Roman" w:cs="Times New Roman"/>
      <w:bCs/>
      <w:sz w:val="25"/>
      <w:szCs w:val="24"/>
      <w:lang w:val="x-none" w:eastAsia="x-none"/>
    </w:rPr>
  </w:style>
  <w:style w:type="paragraph" w:customStyle="1" w:styleId="Default">
    <w:name w:val="Default"/>
    <w:rsid w:val="00FB69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E4D9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992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 Abrahao</dc:creator>
  <cp:lastModifiedBy>Gabinete</cp:lastModifiedBy>
  <cp:revision>39</cp:revision>
  <cp:lastPrinted>2020-11-26T12:16:00Z</cp:lastPrinted>
  <dcterms:created xsi:type="dcterms:W3CDTF">2019-10-15T13:11:00Z</dcterms:created>
  <dcterms:modified xsi:type="dcterms:W3CDTF">2020-12-29T13:25:00Z</dcterms:modified>
</cp:coreProperties>
</file>