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59B6" w14:textId="77777777" w:rsidR="00217B20" w:rsidRDefault="00217B20" w:rsidP="00217B20">
      <w:pPr>
        <w:pStyle w:val="NormalWeb"/>
        <w:jc w:val="center"/>
        <w:rPr>
          <w:rStyle w:val="Forte"/>
        </w:rPr>
      </w:pPr>
      <w:r>
        <w:rPr>
          <w:rStyle w:val="Forte"/>
        </w:rPr>
        <w:t>RESOLUÇÃO CMDCA Nº 033/2025, DE 10 DE DEZEMBRO DE 2025</w:t>
      </w:r>
    </w:p>
    <w:p w14:paraId="64FC66AA" w14:textId="76D45F86" w:rsidR="00217B20" w:rsidRDefault="00217B20" w:rsidP="00217B20">
      <w:pPr>
        <w:pStyle w:val="NormalWeb"/>
        <w:ind w:left="5670"/>
        <w:jc w:val="both"/>
      </w:pPr>
      <w:r>
        <w:t>Dispõe sobre a padronização de rotinas, procedimentos e fluxos para credenciamento e registro de entidades e programas junto ao CMDCA de Sorriso-MT, conforme a Lei Municipal nº 236/2015.</w:t>
      </w:r>
    </w:p>
    <w:p w14:paraId="3F9D2A9D" w14:textId="77777777" w:rsidR="00217B20" w:rsidRPr="00217B20" w:rsidRDefault="00217B20" w:rsidP="00217B20">
      <w:pPr>
        <w:spacing w:line="276" w:lineRule="auto"/>
        <w:rPr>
          <w:sz w:val="24"/>
          <w:szCs w:val="24"/>
        </w:rPr>
      </w:pPr>
    </w:p>
    <w:p w14:paraId="0B789C95" w14:textId="51C8D975" w:rsidR="00217B20" w:rsidRDefault="00217B20" w:rsidP="00217B20">
      <w:pPr>
        <w:spacing w:line="276" w:lineRule="auto"/>
        <w:ind w:firstLine="1134"/>
        <w:jc w:val="both"/>
        <w:rPr>
          <w:sz w:val="24"/>
          <w:szCs w:val="24"/>
        </w:rPr>
      </w:pPr>
      <w:r w:rsidRPr="00217B20">
        <w:rPr>
          <w:sz w:val="24"/>
          <w:szCs w:val="24"/>
        </w:rPr>
        <w:t xml:space="preserve">O </w:t>
      </w:r>
      <w:r w:rsidRPr="00217B20">
        <w:rPr>
          <w:b/>
          <w:bCs/>
          <w:sz w:val="24"/>
          <w:szCs w:val="24"/>
        </w:rPr>
        <w:t>CONSELHO MUNICIPAL DOS DIREITOS DA CRIANÇA E DO ADOLESCENTE – CMDCA</w:t>
      </w:r>
      <w:r w:rsidRPr="00217B20">
        <w:rPr>
          <w:sz w:val="24"/>
          <w:szCs w:val="24"/>
        </w:rPr>
        <w:t>, do Município de Sorriso/MT, no uso das atribuições conferidas pela Lei Federal nº 8.069/1990 (ECA), pela Lei Municipal nº 236/2015, e demais normativas aplicáveis ao Sistema de Garantia de Direitos,</w:t>
      </w:r>
    </w:p>
    <w:p w14:paraId="214B2BBB" w14:textId="77777777" w:rsidR="008A24C6" w:rsidRPr="00217B20" w:rsidRDefault="008A24C6" w:rsidP="00217B20">
      <w:pPr>
        <w:spacing w:line="276" w:lineRule="auto"/>
        <w:ind w:firstLine="1134"/>
        <w:jc w:val="both"/>
        <w:rPr>
          <w:sz w:val="24"/>
          <w:szCs w:val="24"/>
        </w:rPr>
      </w:pPr>
    </w:p>
    <w:p w14:paraId="3FEBBD45" w14:textId="77777777" w:rsidR="008A24C6" w:rsidRPr="00217B20" w:rsidRDefault="008A24C6" w:rsidP="008A24C6">
      <w:pPr>
        <w:spacing w:line="276" w:lineRule="auto"/>
        <w:ind w:firstLine="1134"/>
        <w:jc w:val="both"/>
        <w:rPr>
          <w:sz w:val="24"/>
          <w:szCs w:val="24"/>
        </w:rPr>
      </w:pPr>
      <w:r w:rsidRPr="008A24C6">
        <w:rPr>
          <w:b/>
          <w:bCs/>
          <w:sz w:val="24"/>
          <w:szCs w:val="24"/>
        </w:rPr>
        <w:t>CONSIDERANDO</w:t>
      </w:r>
      <w:r w:rsidRPr="00217B20">
        <w:rPr>
          <w:sz w:val="24"/>
          <w:szCs w:val="24"/>
        </w:rPr>
        <w:t xml:space="preserve"> o disposto no Art. 88, II e III, do Estatuto da Criança e do Adolescente, que estabelece a obrigatoriedade de manutenção de conselhos deliberativos e de controle das ações destinadas à promoção, proteção e defesa dos direitos de crianças e adolescentes;</w:t>
      </w:r>
    </w:p>
    <w:p w14:paraId="15296945" w14:textId="77777777" w:rsidR="00217B20" w:rsidRDefault="00217B20" w:rsidP="00217B2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que compete ao CMDCA, conforme o art. 24 da Lei Municipal nº 236/2015, realizar o registro e acompanhamento das Organizações da Sociedade Civil e dos programas voltados à promoção, defesa e garantia dos direitos da criança e do adolescente no município de Sorriso-MT;</w:t>
      </w:r>
    </w:p>
    <w:p w14:paraId="70B83815" w14:textId="77777777" w:rsidR="00217B20" w:rsidRDefault="00217B20" w:rsidP="00217B2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a necessidade de padronizar fluxos, rotinas e procedimentos de análise documental, visitas técnicas, emissão de pareceres e tramitação dos pedidos de credenciamento, garantindo maior segurança jurídica, eficiência administrativa e isonomia no tratamento das entidades;</w:t>
      </w:r>
    </w:p>
    <w:p w14:paraId="03BD5106" w14:textId="19DA89FC" w:rsidR="008A24C6" w:rsidRPr="00217B20" w:rsidRDefault="008A24C6" w:rsidP="008A24C6">
      <w:pPr>
        <w:spacing w:line="276" w:lineRule="auto"/>
        <w:ind w:firstLine="1134"/>
        <w:jc w:val="both"/>
        <w:rPr>
          <w:sz w:val="24"/>
          <w:szCs w:val="24"/>
        </w:rPr>
      </w:pPr>
      <w:r w:rsidRPr="008A24C6">
        <w:rPr>
          <w:b/>
          <w:bCs/>
          <w:sz w:val="24"/>
          <w:szCs w:val="24"/>
        </w:rPr>
        <w:t>CONSIDERANDO</w:t>
      </w:r>
      <w:r w:rsidRPr="00217B20">
        <w:rPr>
          <w:sz w:val="24"/>
          <w:szCs w:val="24"/>
        </w:rPr>
        <w:t xml:space="preserve"> ainda que no exercício de 2025 foram identificadas</w:t>
      </w:r>
      <w:r>
        <w:rPr>
          <w:sz w:val="24"/>
          <w:szCs w:val="24"/>
        </w:rPr>
        <w:t xml:space="preserve"> </w:t>
      </w:r>
      <w:r w:rsidRPr="00217B20">
        <w:rPr>
          <w:sz w:val="24"/>
          <w:szCs w:val="24"/>
        </w:rPr>
        <w:t>inconsistências e atrasos superiores a 10 (dez) meses decorrentes de repetidas solicitações de complementação documental, demonstrando a necessidade de revisão dos fluxos e adoção do princípio da “Entrega Integral”, promovendo maior eficiência administrativa conforme o Art. 37, caput, da Constituição Federal;</w:t>
      </w:r>
    </w:p>
    <w:p w14:paraId="1C9BA78C" w14:textId="77777777" w:rsidR="00217B20" w:rsidRDefault="00217B20" w:rsidP="00217B2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que o aumento da demanda e a recorrência de protocolos incompletos ou incoerentes geram atrasos excessivos, comprometendo a prestação dos serviços socioassistenciais e a efetivação dos direitos de crianças e adolescentes;</w:t>
      </w:r>
    </w:p>
    <w:p w14:paraId="1A77786F" w14:textId="77777777" w:rsidR="00217B20" w:rsidRDefault="00217B20" w:rsidP="00217B2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a necessidade de assegurar que todas as entidades apresentem documentação integral, atualizada e em conformidade com as exigências legais antes de iniciar a análise técnica pela Comissão de Cadastro e Monitoramento (COCIM);</w:t>
      </w:r>
    </w:p>
    <w:p w14:paraId="7453F43E" w14:textId="77777777" w:rsidR="00217B20" w:rsidRPr="008A24C6" w:rsidRDefault="00217B20" w:rsidP="00217B20">
      <w:pPr>
        <w:pStyle w:val="NormalWeb"/>
        <w:ind w:firstLine="1134"/>
        <w:jc w:val="both"/>
      </w:pPr>
      <w:r>
        <w:rPr>
          <w:rStyle w:val="Forte"/>
        </w:rPr>
        <w:t>CONSIDERANDO</w:t>
      </w:r>
      <w:r>
        <w:t xml:space="preserve"> a deliberação do colegiado em reunião ordinária realizada na data refere</w:t>
      </w:r>
      <w:r w:rsidRPr="008A24C6">
        <w:t>nte à aprovação da presente resolução;</w:t>
      </w:r>
    </w:p>
    <w:p w14:paraId="53CDD806" w14:textId="100B9083" w:rsidR="00217B20" w:rsidRPr="008A24C6" w:rsidRDefault="00217B20" w:rsidP="00217B20">
      <w:pPr>
        <w:ind w:firstLine="1134"/>
        <w:jc w:val="both"/>
        <w:rPr>
          <w:sz w:val="24"/>
          <w:szCs w:val="24"/>
        </w:rPr>
      </w:pPr>
    </w:p>
    <w:p w14:paraId="6532FA0A" w14:textId="0EED8082" w:rsidR="00217B20" w:rsidRPr="008A24C6" w:rsidRDefault="008A24C6" w:rsidP="00217B20">
      <w:pPr>
        <w:ind w:firstLine="1134"/>
        <w:jc w:val="both"/>
        <w:rPr>
          <w:b/>
          <w:bCs/>
          <w:sz w:val="24"/>
          <w:szCs w:val="24"/>
        </w:rPr>
      </w:pPr>
      <w:r w:rsidRPr="008A24C6">
        <w:rPr>
          <w:b/>
          <w:bCs/>
          <w:sz w:val="24"/>
          <w:szCs w:val="24"/>
        </w:rPr>
        <w:t>RESOLVE</w:t>
      </w:r>
    </w:p>
    <w:p w14:paraId="326221BF" w14:textId="245BE3F0" w:rsidR="00217B20" w:rsidRPr="008A24C6" w:rsidRDefault="00217B20" w:rsidP="008A24C6">
      <w:pPr>
        <w:pStyle w:val="Ttulo3"/>
        <w:ind w:firstLine="1134"/>
        <w:jc w:val="both"/>
        <w:rPr>
          <w:sz w:val="24"/>
          <w:szCs w:val="24"/>
        </w:rPr>
      </w:pPr>
      <w:r w:rsidRPr="008A24C6">
        <w:rPr>
          <w:rStyle w:val="Forte"/>
          <w:b/>
          <w:bCs w:val="0"/>
          <w:sz w:val="24"/>
          <w:szCs w:val="24"/>
        </w:rPr>
        <w:t xml:space="preserve">Art. 1º – </w:t>
      </w:r>
      <w:r w:rsidRPr="008A24C6">
        <w:rPr>
          <w:b w:val="0"/>
          <w:bCs/>
          <w:sz w:val="24"/>
          <w:szCs w:val="24"/>
        </w:rPr>
        <w:t>As solicitações de credenciamento (registro e inscrição de programas) deverão ser protocoladas obrigatoriamente na Casa dos Conselhos, situada na Rua Marechal Rondon, nº 2311, Bairro Bela Vista, Sorriso-MT.</w:t>
      </w:r>
      <w:r w:rsidRPr="008A24C6">
        <w:rPr>
          <w:b w:val="0"/>
          <w:bCs/>
          <w:sz w:val="24"/>
          <w:szCs w:val="24"/>
        </w:rPr>
        <w:br/>
        <w:t>Horário de Atendimento: Segunda a sexta-feira, das 07:30 às 12:30.</w:t>
      </w:r>
      <w:r w:rsidRPr="008A24C6">
        <w:rPr>
          <w:b w:val="0"/>
          <w:bCs/>
          <w:sz w:val="24"/>
          <w:szCs w:val="24"/>
        </w:rPr>
        <w:br/>
        <w:t>Forma: Mediante Ofício de Solicitação acompanhado da documentação integral exigida pelo Art. 24 da Lei 236/2015.</w:t>
      </w:r>
    </w:p>
    <w:p w14:paraId="79B55E8C" w14:textId="5870C513" w:rsidR="00217B20" w:rsidRPr="008A24C6" w:rsidRDefault="00217B20" w:rsidP="00217B20">
      <w:pPr>
        <w:ind w:firstLine="1134"/>
        <w:jc w:val="both"/>
        <w:rPr>
          <w:sz w:val="24"/>
          <w:szCs w:val="24"/>
        </w:rPr>
      </w:pPr>
    </w:p>
    <w:p w14:paraId="15F27D1E" w14:textId="78B49B6C" w:rsidR="00217B20" w:rsidRPr="008A24C6" w:rsidRDefault="00217B20" w:rsidP="008A24C6">
      <w:pPr>
        <w:pStyle w:val="Ttulo3"/>
        <w:ind w:firstLine="1134"/>
        <w:jc w:val="both"/>
        <w:rPr>
          <w:sz w:val="24"/>
          <w:szCs w:val="24"/>
        </w:rPr>
      </w:pPr>
      <w:r w:rsidRPr="008A24C6">
        <w:rPr>
          <w:rStyle w:val="Forte"/>
          <w:b/>
          <w:bCs w:val="0"/>
          <w:sz w:val="24"/>
          <w:szCs w:val="24"/>
        </w:rPr>
        <w:t xml:space="preserve">Art. 2º – </w:t>
      </w:r>
      <w:r w:rsidRPr="008A24C6">
        <w:rPr>
          <w:b w:val="0"/>
          <w:bCs/>
          <w:sz w:val="24"/>
          <w:szCs w:val="24"/>
        </w:rPr>
        <w:t>A COCIM reunir-se-á ordinariamente na 1ª (primeira) quarta-feira de cada mês.</w:t>
      </w:r>
    </w:p>
    <w:p w14:paraId="12B69A67" w14:textId="77777777" w:rsidR="00217B20" w:rsidRPr="008A24C6" w:rsidRDefault="00217B20" w:rsidP="00217B20">
      <w:pPr>
        <w:pStyle w:val="NormalWeb"/>
        <w:ind w:firstLine="1134"/>
        <w:jc w:val="both"/>
      </w:pPr>
      <w:r w:rsidRPr="008A24C6">
        <w:t>§ 1º: Somente serão analisados na reunião do mês vigente os protocolos realizados até 02 (dois) dias úteis antes da data da reunião.</w:t>
      </w:r>
    </w:p>
    <w:p w14:paraId="024E253B" w14:textId="77777777" w:rsidR="00217B20" w:rsidRPr="008A24C6" w:rsidRDefault="00217B20" w:rsidP="00217B20">
      <w:pPr>
        <w:pStyle w:val="NormalWeb"/>
        <w:ind w:firstLine="1134"/>
        <w:jc w:val="both"/>
      </w:pPr>
      <w:r w:rsidRPr="008A24C6">
        <w:t>§ 2º: Protocolos realizados após este prazo serão automaticamente pautados para a reunião ordinária do mês subsequente.</w:t>
      </w:r>
    </w:p>
    <w:p w14:paraId="0AF70AAC" w14:textId="26B3BD45" w:rsidR="00217B20" w:rsidRPr="008A24C6" w:rsidRDefault="00217B20" w:rsidP="00217B20">
      <w:pPr>
        <w:ind w:firstLine="1134"/>
        <w:jc w:val="both"/>
        <w:rPr>
          <w:sz w:val="24"/>
          <w:szCs w:val="24"/>
        </w:rPr>
      </w:pPr>
    </w:p>
    <w:p w14:paraId="25C1EF45" w14:textId="08AF7A4E" w:rsidR="00217B20" w:rsidRPr="008A24C6" w:rsidRDefault="00217B20" w:rsidP="008A24C6">
      <w:pPr>
        <w:pStyle w:val="Ttulo3"/>
        <w:ind w:firstLine="1134"/>
        <w:jc w:val="both"/>
        <w:rPr>
          <w:b w:val="0"/>
          <w:bCs/>
          <w:sz w:val="24"/>
          <w:szCs w:val="24"/>
        </w:rPr>
      </w:pPr>
      <w:r w:rsidRPr="008A24C6">
        <w:rPr>
          <w:rStyle w:val="Forte"/>
          <w:b/>
          <w:bCs w:val="0"/>
          <w:sz w:val="24"/>
          <w:szCs w:val="24"/>
        </w:rPr>
        <w:t xml:space="preserve">Art. 3º – </w:t>
      </w:r>
      <w:r w:rsidRPr="008A24C6">
        <w:rPr>
          <w:b w:val="0"/>
          <w:bCs/>
          <w:sz w:val="24"/>
          <w:szCs w:val="24"/>
        </w:rPr>
        <w:t>A análise documental e do Plano de Trabalho resultará em um Parecer Técnico fundamentado em uma das seguintes categorias:</w:t>
      </w:r>
    </w:p>
    <w:p w14:paraId="1C050362" w14:textId="77777777" w:rsidR="00217B20" w:rsidRPr="008A24C6" w:rsidRDefault="00217B20" w:rsidP="008A24C6">
      <w:pPr>
        <w:pStyle w:val="NormalWeb"/>
        <w:ind w:left="1134"/>
        <w:jc w:val="both"/>
      </w:pPr>
      <w:r w:rsidRPr="008A24C6">
        <w:rPr>
          <w:rStyle w:val="Forte"/>
        </w:rPr>
        <w:t>I – APROVAÇÃO TOTAL (1ª FASE):</w:t>
      </w:r>
      <w:r w:rsidRPr="008A24C6">
        <w:br/>
        <w:t xml:space="preserve">Concedida quando houver a entrega de 100% dos documentos solicitados no </w:t>
      </w:r>
      <w:proofErr w:type="spellStart"/>
      <w:r w:rsidRPr="008A24C6">
        <w:t>check-list</w:t>
      </w:r>
      <w:proofErr w:type="spellEnd"/>
      <w:r w:rsidRPr="008A24C6">
        <w:t xml:space="preserve"> e o Plano de Trabalho estiver em total conformidade com os princípios do ECA e os requisitos do Art. 24, Inciso IX. O processo seguirá imediatamente para a fase de visita de vistoria (Art. 24, § 6º).</w:t>
      </w:r>
    </w:p>
    <w:p w14:paraId="075F8DDD" w14:textId="77777777" w:rsidR="00217B20" w:rsidRPr="008A24C6" w:rsidRDefault="00217B20" w:rsidP="008A24C6">
      <w:pPr>
        <w:pStyle w:val="NormalWeb"/>
        <w:ind w:left="1134"/>
        <w:jc w:val="both"/>
      </w:pPr>
      <w:r w:rsidRPr="008A24C6">
        <w:rPr>
          <w:rStyle w:val="Forte"/>
        </w:rPr>
        <w:t>II – APROVAÇÃO PARCIAL:</w:t>
      </w:r>
      <w:r w:rsidRPr="008A24C6">
        <w:br/>
        <w:t>Concedida quando houver ausência mínima de documentação ou inconsistências sanáveis no Plano de Trabalho (Projeto Estrutural).</w:t>
      </w:r>
      <w:r w:rsidRPr="008A24C6">
        <w:br/>
        <w:t>a) A entidade será notificada via Ofício para adequação no prazo de 20 (vinte) dias.</w:t>
      </w:r>
      <w:r w:rsidRPr="008A24C6">
        <w:br/>
        <w:t>b) O prazo máximo para tramitação desta pendência é de 60 (sessenta) dias (duas reuniões ordinárias). Caso não ocorra a adequação, o parecer será convertido em Reprovação Total.</w:t>
      </w:r>
    </w:p>
    <w:p w14:paraId="77D200CB" w14:textId="77777777" w:rsidR="00217B20" w:rsidRPr="008A24C6" w:rsidRDefault="00217B20" w:rsidP="008A24C6">
      <w:pPr>
        <w:pStyle w:val="NormalWeb"/>
        <w:ind w:left="1134"/>
        <w:jc w:val="both"/>
      </w:pPr>
      <w:r w:rsidRPr="008A24C6">
        <w:rPr>
          <w:rStyle w:val="Forte"/>
        </w:rPr>
        <w:t>III – REPROVAÇÃO TOTAL:</w:t>
      </w:r>
      <w:r w:rsidRPr="008A24C6">
        <w:br/>
        <w:t>Aplicada quando houver ausência de documentos essenciais, inidoneidade de membros (Art. 23, § 2º, “d”) ou incoerências graves no Plano de Trabalho.</w:t>
      </w:r>
      <w:r w:rsidRPr="008A24C6">
        <w:br/>
        <w:t>a) A documentação será devolvida integralmente à Organização da Sociedade Civil (OSC).</w:t>
      </w:r>
      <w:r w:rsidRPr="008A24C6">
        <w:br/>
        <w:t>b) O processo será encerrado, cabendo à OSC realizar um novo protocolo após as devidas correções, iniciando um novo ciclo de análise.</w:t>
      </w:r>
    </w:p>
    <w:p w14:paraId="4E755DB6" w14:textId="2F8803EE" w:rsidR="00217B20" w:rsidRPr="008A24C6" w:rsidRDefault="00217B20" w:rsidP="00217B20">
      <w:pPr>
        <w:ind w:firstLine="1134"/>
        <w:jc w:val="both"/>
        <w:rPr>
          <w:sz w:val="24"/>
          <w:szCs w:val="24"/>
        </w:rPr>
      </w:pPr>
    </w:p>
    <w:p w14:paraId="11C5FE51" w14:textId="37E9A68A" w:rsidR="00217B20" w:rsidRPr="008A24C6" w:rsidRDefault="00217B20" w:rsidP="008A24C6">
      <w:pPr>
        <w:pStyle w:val="Ttulo3"/>
        <w:ind w:firstLine="1134"/>
        <w:jc w:val="both"/>
        <w:rPr>
          <w:sz w:val="24"/>
          <w:szCs w:val="24"/>
        </w:rPr>
      </w:pPr>
      <w:r w:rsidRPr="008A24C6">
        <w:rPr>
          <w:rStyle w:val="Forte"/>
          <w:b/>
          <w:bCs w:val="0"/>
          <w:sz w:val="24"/>
          <w:szCs w:val="24"/>
        </w:rPr>
        <w:lastRenderedPageBreak/>
        <w:t>Art. 4º –</w:t>
      </w:r>
      <w:r w:rsidRPr="008A24C6">
        <w:rPr>
          <w:sz w:val="24"/>
          <w:szCs w:val="24"/>
        </w:rPr>
        <w:t>Visando a celeridade e transparência, a COCIM estabelece que:</w:t>
      </w:r>
    </w:p>
    <w:p w14:paraId="73BA12B5" w14:textId="77777777" w:rsidR="00217B20" w:rsidRPr="008A24C6" w:rsidRDefault="00217B20" w:rsidP="00217B20">
      <w:pPr>
        <w:pStyle w:val="NormalWeb"/>
        <w:ind w:firstLine="1134"/>
        <w:jc w:val="both"/>
      </w:pPr>
      <w:r w:rsidRPr="008A24C6">
        <w:t>§ 1º: Não haverá devolutiva de “status” parcial durante o período de análise. Cada solicitação será avaliada pelo conjunto documental protocolado.</w:t>
      </w:r>
    </w:p>
    <w:p w14:paraId="446CAD2E" w14:textId="77777777" w:rsidR="00217B20" w:rsidRPr="008A24C6" w:rsidRDefault="00217B20" w:rsidP="00217B20">
      <w:pPr>
        <w:pStyle w:val="NormalWeb"/>
        <w:ind w:firstLine="1134"/>
        <w:jc w:val="both"/>
      </w:pPr>
      <w:r w:rsidRPr="008A24C6">
        <w:t>§ 2º: A responsabilidade pela integridade e veracidade dos documentos e do Plano de Trabalho é exclusiva da OSC solicitante.</w:t>
      </w:r>
    </w:p>
    <w:p w14:paraId="0C6141E4" w14:textId="5D26EF7C" w:rsidR="00217B20" w:rsidRDefault="00217B20" w:rsidP="008A24C6">
      <w:pPr>
        <w:pStyle w:val="Ttulo3"/>
        <w:ind w:firstLine="1134"/>
        <w:jc w:val="both"/>
        <w:rPr>
          <w:b w:val="0"/>
          <w:bCs/>
          <w:sz w:val="24"/>
          <w:szCs w:val="24"/>
        </w:rPr>
      </w:pPr>
      <w:r w:rsidRPr="008A24C6">
        <w:rPr>
          <w:rStyle w:val="Forte"/>
          <w:b/>
          <w:bCs w:val="0"/>
          <w:sz w:val="24"/>
          <w:szCs w:val="24"/>
        </w:rPr>
        <w:t xml:space="preserve">Art. 5º – </w:t>
      </w:r>
      <w:r w:rsidRPr="008A24C6">
        <w:rPr>
          <w:b w:val="0"/>
          <w:bCs/>
          <w:sz w:val="24"/>
          <w:szCs w:val="24"/>
        </w:rPr>
        <w:t>O texto explicativo destinado às entidades para fins de orientação será disponibilizado.</w:t>
      </w:r>
    </w:p>
    <w:p w14:paraId="199EEF5B" w14:textId="015144F6" w:rsidR="008A24C6" w:rsidRDefault="008A24C6" w:rsidP="008A24C6"/>
    <w:p w14:paraId="1D1AB26D" w14:textId="30993648" w:rsidR="008A24C6" w:rsidRPr="00643249" w:rsidRDefault="008A24C6" w:rsidP="008A24C6">
      <w:pPr>
        <w:pStyle w:val="Ttulo3"/>
        <w:spacing w:before="0" w:after="0" w:line="276" w:lineRule="auto"/>
        <w:ind w:firstLine="1134"/>
        <w:jc w:val="both"/>
        <w:rPr>
          <w:b w:val="0"/>
          <w:bCs/>
          <w:sz w:val="24"/>
          <w:szCs w:val="24"/>
        </w:rPr>
      </w:pPr>
      <w:r w:rsidRPr="00620C64">
        <w:rPr>
          <w:rStyle w:val="Forte"/>
          <w:b/>
          <w:bCs w:val="0"/>
          <w:sz w:val="24"/>
          <w:szCs w:val="24"/>
        </w:rPr>
        <w:t xml:space="preserve">Art. </w:t>
      </w:r>
      <w:r>
        <w:rPr>
          <w:rStyle w:val="Forte"/>
          <w:b/>
          <w:bCs w:val="0"/>
          <w:sz w:val="24"/>
          <w:szCs w:val="24"/>
        </w:rPr>
        <w:t>6</w:t>
      </w:r>
      <w:r w:rsidRPr="00620C64">
        <w:rPr>
          <w:rStyle w:val="Forte"/>
          <w:b/>
          <w:bCs w:val="0"/>
          <w:sz w:val="24"/>
          <w:szCs w:val="24"/>
        </w:rPr>
        <w:t>º</w:t>
      </w:r>
      <w:r>
        <w:rPr>
          <w:rStyle w:val="Forte"/>
          <w:b/>
          <w:bCs w:val="0"/>
          <w:sz w:val="24"/>
          <w:szCs w:val="24"/>
        </w:rPr>
        <w:t xml:space="preserve">- </w:t>
      </w:r>
      <w:r w:rsidRPr="00643249">
        <w:rPr>
          <w:b w:val="0"/>
          <w:bCs/>
          <w:sz w:val="24"/>
          <w:szCs w:val="24"/>
        </w:rPr>
        <w:t>Esta Resolução entra em vigor na data de sua publicação.</w:t>
      </w:r>
    </w:p>
    <w:p w14:paraId="25CF4F1C" w14:textId="77777777" w:rsidR="008A24C6" w:rsidRPr="008A24C6" w:rsidRDefault="008A24C6" w:rsidP="008A24C6"/>
    <w:p w14:paraId="770117BC" w14:textId="77777777" w:rsidR="00000C35" w:rsidRPr="008A24C6" w:rsidRDefault="00000C35" w:rsidP="00000C35">
      <w:pPr>
        <w:spacing w:line="276" w:lineRule="auto"/>
        <w:jc w:val="right"/>
        <w:rPr>
          <w:rStyle w:val="Forte"/>
          <w:b w:val="0"/>
          <w:bCs w:val="0"/>
          <w:sz w:val="24"/>
          <w:szCs w:val="24"/>
        </w:rPr>
      </w:pPr>
    </w:p>
    <w:p w14:paraId="72B91BD7" w14:textId="73B161C7" w:rsidR="00507B11" w:rsidRPr="008A24C6" w:rsidRDefault="00507B11" w:rsidP="00000C35">
      <w:pPr>
        <w:spacing w:line="276" w:lineRule="auto"/>
        <w:jc w:val="right"/>
        <w:rPr>
          <w:b/>
          <w:bCs/>
          <w:sz w:val="24"/>
          <w:szCs w:val="24"/>
        </w:rPr>
      </w:pPr>
      <w:r w:rsidRPr="008A24C6">
        <w:rPr>
          <w:b/>
          <w:bCs/>
          <w:sz w:val="24"/>
          <w:szCs w:val="24"/>
        </w:rPr>
        <w:t xml:space="preserve">Sorriso-MT, </w:t>
      </w:r>
      <w:r w:rsidR="001D39A3" w:rsidRPr="008A24C6">
        <w:rPr>
          <w:b/>
          <w:bCs/>
          <w:sz w:val="24"/>
          <w:szCs w:val="24"/>
        </w:rPr>
        <w:t>1</w:t>
      </w:r>
      <w:r w:rsidR="00C52AB3" w:rsidRPr="008A24C6">
        <w:rPr>
          <w:b/>
          <w:bCs/>
          <w:sz w:val="24"/>
          <w:szCs w:val="24"/>
        </w:rPr>
        <w:t>0</w:t>
      </w:r>
      <w:r w:rsidRPr="008A24C6">
        <w:rPr>
          <w:b/>
          <w:bCs/>
          <w:sz w:val="24"/>
          <w:szCs w:val="24"/>
        </w:rPr>
        <w:t xml:space="preserve"> de </w:t>
      </w:r>
      <w:r w:rsidR="00C52AB3" w:rsidRPr="008A24C6">
        <w:rPr>
          <w:b/>
          <w:bCs/>
          <w:sz w:val="24"/>
          <w:szCs w:val="24"/>
        </w:rPr>
        <w:t>dezembro</w:t>
      </w:r>
      <w:r w:rsidRPr="008A24C6">
        <w:rPr>
          <w:b/>
          <w:bCs/>
          <w:sz w:val="24"/>
          <w:szCs w:val="24"/>
        </w:rPr>
        <w:t xml:space="preserve"> de 2025.</w:t>
      </w:r>
    </w:p>
    <w:p w14:paraId="28D7D37F" w14:textId="77777777" w:rsidR="00507B11" w:rsidRPr="008A24C6" w:rsidRDefault="00507B11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62379121" w14:textId="77777777" w:rsidR="00620C64" w:rsidRPr="008A24C6" w:rsidRDefault="00620C64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0F9FB534" w14:textId="77777777" w:rsidR="00507B11" w:rsidRPr="008A24C6" w:rsidRDefault="00507B11" w:rsidP="00643249">
      <w:pPr>
        <w:spacing w:line="276" w:lineRule="auto"/>
        <w:jc w:val="center"/>
        <w:rPr>
          <w:b/>
          <w:bCs/>
          <w:sz w:val="24"/>
          <w:szCs w:val="24"/>
        </w:rPr>
      </w:pPr>
    </w:p>
    <w:p w14:paraId="424F8D61" w14:textId="37C1E2BB" w:rsidR="00454050" w:rsidRPr="008A24C6" w:rsidRDefault="00454050" w:rsidP="00643249">
      <w:pPr>
        <w:spacing w:line="276" w:lineRule="auto"/>
        <w:jc w:val="center"/>
        <w:rPr>
          <w:sz w:val="24"/>
          <w:szCs w:val="24"/>
        </w:rPr>
      </w:pPr>
      <w:r w:rsidRPr="008A24C6">
        <w:rPr>
          <w:b/>
          <w:bCs/>
          <w:sz w:val="24"/>
          <w:szCs w:val="24"/>
        </w:rPr>
        <w:t>Renato Ferreira Silva</w:t>
      </w:r>
      <w:r w:rsidRPr="008A24C6">
        <w:rPr>
          <w:sz w:val="24"/>
          <w:szCs w:val="24"/>
        </w:rPr>
        <w:br/>
        <w:t>Presidente do CMDCA</w:t>
      </w:r>
    </w:p>
    <w:p w14:paraId="2423EDC9" w14:textId="57C4E887" w:rsidR="00507B11" w:rsidRDefault="00507B11" w:rsidP="00643249">
      <w:pPr>
        <w:spacing w:line="276" w:lineRule="auto"/>
        <w:rPr>
          <w:sz w:val="24"/>
          <w:szCs w:val="24"/>
        </w:rPr>
      </w:pPr>
    </w:p>
    <w:p w14:paraId="72DADA6B" w14:textId="77777777" w:rsidR="00217B20" w:rsidRPr="00217B20" w:rsidRDefault="00217B20" w:rsidP="00217B20">
      <w:pPr>
        <w:spacing w:line="276" w:lineRule="auto"/>
        <w:rPr>
          <w:sz w:val="24"/>
          <w:szCs w:val="24"/>
        </w:rPr>
      </w:pPr>
    </w:p>
    <w:p w14:paraId="274F40F7" w14:textId="77777777" w:rsidR="00217B20" w:rsidRPr="00217B20" w:rsidRDefault="00217B20" w:rsidP="00217B20">
      <w:pPr>
        <w:spacing w:line="276" w:lineRule="auto"/>
        <w:rPr>
          <w:sz w:val="24"/>
          <w:szCs w:val="24"/>
        </w:rPr>
      </w:pPr>
    </w:p>
    <w:p w14:paraId="256116B6" w14:textId="77777777" w:rsidR="00217B20" w:rsidRPr="00217B20" w:rsidRDefault="00217B20" w:rsidP="00217B20">
      <w:pPr>
        <w:spacing w:line="276" w:lineRule="auto"/>
        <w:rPr>
          <w:sz w:val="24"/>
          <w:szCs w:val="24"/>
        </w:rPr>
      </w:pPr>
    </w:p>
    <w:p w14:paraId="381974B6" w14:textId="3E94BBD8" w:rsidR="00217B20" w:rsidRPr="00507B11" w:rsidRDefault="00217B20" w:rsidP="00217B20">
      <w:pPr>
        <w:spacing w:line="276" w:lineRule="auto"/>
        <w:rPr>
          <w:sz w:val="24"/>
          <w:szCs w:val="24"/>
        </w:rPr>
      </w:pPr>
    </w:p>
    <w:sectPr w:rsidR="00217B20" w:rsidRPr="00507B11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57619"/>
    <w:multiLevelType w:val="multilevel"/>
    <w:tmpl w:val="C29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C059C"/>
    <w:multiLevelType w:val="multilevel"/>
    <w:tmpl w:val="DC0E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0" w15:restartNumberingAfterBreak="0">
    <w:nsid w:val="27AA6DD2"/>
    <w:multiLevelType w:val="multilevel"/>
    <w:tmpl w:val="9E16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5312B98"/>
    <w:multiLevelType w:val="multilevel"/>
    <w:tmpl w:val="561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128B4"/>
    <w:multiLevelType w:val="multilevel"/>
    <w:tmpl w:val="6C7A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C4A9B"/>
    <w:multiLevelType w:val="multilevel"/>
    <w:tmpl w:val="AC4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55E85"/>
    <w:multiLevelType w:val="multilevel"/>
    <w:tmpl w:val="AF0C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2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9"/>
  </w:num>
  <w:num w:numId="2">
    <w:abstractNumId w:val="20"/>
  </w:num>
  <w:num w:numId="3">
    <w:abstractNumId w:val="33"/>
  </w:num>
  <w:num w:numId="4">
    <w:abstractNumId w:val="5"/>
  </w:num>
  <w:num w:numId="5">
    <w:abstractNumId w:val="5"/>
  </w:num>
  <w:num w:numId="6">
    <w:abstractNumId w:val="0"/>
  </w:num>
  <w:num w:numId="7">
    <w:abstractNumId w:val="31"/>
  </w:num>
  <w:num w:numId="8">
    <w:abstractNumId w:val="2"/>
  </w:num>
  <w:num w:numId="9">
    <w:abstractNumId w:val="32"/>
  </w:num>
  <w:num w:numId="10">
    <w:abstractNumId w:val="27"/>
  </w:num>
  <w:num w:numId="11">
    <w:abstractNumId w:val="29"/>
  </w:num>
  <w:num w:numId="12">
    <w:abstractNumId w:val="18"/>
  </w:num>
  <w:num w:numId="13">
    <w:abstractNumId w:val="16"/>
  </w:num>
  <w:num w:numId="14">
    <w:abstractNumId w:val="12"/>
  </w:num>
  <w:num w:numId="15">
    <w:abstractNumId w:val="17"/>
  </w:num>
  <w:num w:numId="16">
    <w:abstractNumId w:val="26"/>
  </w:num>
  <w:num w:numId="17">
    <w:abstractNumId w:val="11"/>
  </w:num>
  <w:num w:numId="18">
    <w:abstractNumId w:val="25"/>
  </w:num>
  <w:num w:numId="19">
    <w:abstractNumId w:val="3"/>
  </w:num>
  <w:num w:numId="20">
    <w:abstractNumId w:val="30"/>
  </w:num>
  <w:num w:numId="21">
    <w:abstractNumId w:val="6"/>
  </w:num>
  <w:num w:numId="22">
    <w:abstractNumId w:val="1"/>
  </w:num>
  <w:num w:numId="23">
    <w:abstractNumId w:val="28"/>
  </w:num>
  <w:num w:numId="24">
    <w:abstractNumId w:val="8"/>
  </w:num>
  <w:num w:numId="25">
    <w:abstractNumId w:val="21"/>
  </w:num>
  <w:num w:numId="26">
    <w:abstractNumId w:val="13"/>
  </w:num>
  <w:num w:numId="27">
    <w:abstractNumId w:val="15"/>
  </w:num>
  <w:num w:numId="28">
    <w:abstractNumId w:val="9"/>
  </w:num>
  <w:num w:numId="29">
    <w:abstractNumId w:val="14"/>
  </w:num>
  <w:num w:numId="30">
    <w:abstractNumId w:val="7"/>
  </w:num>
  <w:num w:numId="31">
    <w:abstractNumId w:val="24"/>
  </w:num>
  <w:num w:numId="32">
    <w:abstractNumId w:val="10"/>
  </w:num>
  <w:num w:numId="33">
    <w:abstractNumId w:val="22"/>
  </w:num>
  <w:num w:numId="34">
    <w:abstractNumId w:val="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00C35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32EA4"/>
    <w:rsid w:val="0014733C"/>
    <w:rsid w:val="00155E96"/>
    <w:rsid w:val="00175B86"/>
    <w:rsid w:val="00177A59"/>
    <w:rsid w:val="00182319"/>
    <w:rsid w:val="001A414F"/>
    <w:rsid w:val="001A6A82"/>
    <w:rsid w:val="001A6FE2"/>
    <w:rsid w:val="001D39A3"/>
    <w:rsid w:val="001F4F42"/>
    <w:rsid w:val="001F62C0"/>
    <w:rsid w:val="002064B1"/>
    <w:rsid w:val="00217B20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86473"/>
    <w:rsid w:val="003908C0"/>
    <w:rsid w:val="00395EDD"/>
    <w:rsid w:val="003A14B5"/>
    <w:rsid w:val="003A1DD5"/>
    <w:rsid w:val="003A6151"/>
    <w:rsid w:val="003D36D4"/>
    <w:rsid w:val="003E6C9A"/>
    <w:rsid w:val="003F5DB7"/>
    <w:rsid w:val="0041795A"/>
    <w:rsid w:val="00422D4C"/>
    <w:rsid w:val="00447A4B"/>
    <w:rsid w:val="00452F73"/>
    <w:rsid w:val="00454050"/>
    <w:rsid w:val="00472CD1"/>
    <w:rsid w:val="0047483B"/>
    <w:rsid w:val="004A7E82"/>
    <w:rsid w:val="004B0178"/>
    <w:rsid w:val="004B5A27"/>
    <w:rsid w:val="004B6094"/>
    <w:rsid w:val="004C5D60"/>
    <w:rsid w:val="004D418A"/>
    <w:rsid w:val="004D533F"/>
    <w:rsid w:val="004F0338"/>
    <w:rsid w:val="004F6EAE"/>
    <w:rsid w:val="00507B11"/>
    <w:rsid w:val="00510C2E"/>
    <w:rsid w:val="00515B4F"/>
    <w:rsid w:val="005837C5"/>
    <w:rsid w:val="005F138C"/>
    <w:rsid w:val="005F35E5"/>
    <w:rsid w:val="005F57F4"/>
    <w:rsid w:val="006164D2"/>
    <w:rsid w:val="00620C64"/>
    <w:rsid w:val="00622D6A"/>
    <w:rsid w:val="00626E1D"/>
    <w:rsid w:val="0063614F"/>
    <w:rsid w:val="00643249"/>
    <w:rsid w:val="00660133"/>
    <w:rsid w:val="00671298"/>
    <w:rsid w:val="00677B65"/>
    <w:rsid w:val="006850F3"/>
    <w:rsid w:val="006977E4"/>
    <w:rsid w:val="006A0CA0"/>
    <w:rsid w:val="006A5721"/>
    <w:rsid w:val="006A7E9B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D01F6"/>
    <w:rsid w:val="007F1909"/>
    <w:rsid w:val="007F3033"/>
    <w:rsid w:val="0082085C"/>
    <w:rsid w:val="00835F80"/>
    <w:rsid w:val="008364A7"/>
    <w:rsid w:val="008578B4"/>
    <w:rsid w:val="0088706A"/>
    <w:rsid w:val="008877E4"/>
    <w:rsid w:val="00891B25"/>
    <w:rsid w:val="00896556"/>
    <w:rsid w:val="008A24C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11AF1"/>
    <w:rsid w:val="00A70349"/>
    <w:rsid w:val="00A86AED"/>
    <w:rsid w:val="00AA66D1"/>
    <w:rsid w:val="00AB74DC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2AB3"/>
    <w:rsid w:val="00C5698E"/>
    <w:rsid w:val="00C72880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DF7AED"/>
    <w:rsid w:val="00E0392D"/>
    <w:rsid w:val="00E03D9F"/>
    <w:rsid w:val="00E04220"/>
    <w:rsid w:val="00E05C21"/>
    <w:rsid w:val="00E06288"/>
    <w:rsid w:val="00E12030"/>
    <w:rsid w:val="00E25D2C"/>
    <w:rsid w:val="00E56B42"/>
    <w:rsid w:val="00E61C4D"/>
    <w:rsid w:val="00E64784"/>
    <w:rsid w:val="00E74133"/>
    <w:rsid w:val="00E82ED5"/>
    <w:rsid w:val="00E9648F"/>
    <w:rsid w:val="00EA3489"/>
    <w:rsid w:val="00EA7651"/>
    <w:rsid w:val="00EB07E0"/>
    <w:rsid w:val="00EF79C3"/>
    <w:rsid w:val="00F1477F"/>
    <w:rsid w:val="00F356EB"/>
    <w:rsid w:val="00F36DCE"/>
    <w:rsid w:val="00F567A7"/>
    <w:rsid w:val="00F837C5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921-EB5C-43EA-A219-5C239FB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2</cp:revision>
  <cp:lastPrinted>2025-12-12T16:48:00Z</cp:lastPrinted>
  <dcterms:created xsi:type="dcterms:W3CDTF">2025-12-12T16:48:00Z</dcterms:created>
  <dcterms:modified xsi:type="dcterms:W3CDTF">2025-12-12T16:48:00Z</dcterms:modified>
</cp:coreProperties>
</file>